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862" w:rsidRDefault="00725862" w:rsidP="00244355">
      <w:pPr>
        <w:rPr>
          <w:b/>
          <w:bCs/>
        </w:rPr>
      </w:pPr>
    </w:p>
    <w:p w:rsidR="00725862" w:rsidRDefault="00725862" w:rsidP="00244355">
      <w:pPr>
        <w:rPr>
          <w:b/>
          <w:bCs/>
        </w:rPr>
      </w:pPr>
    </w:p>
    <w:p w:rsidR="00725862" w:rsidRDefault="00725862" w:rsidP="00244355">
      <w:pPr>
        <w:rPr>
          <w:b/>
          <w:bCs/>
        </w:rPr>
      </w:pPr>
    </w:p>
    <w:p w:rsidR="00725862" w:rsidRDefault="00725862" w:rsidP="00244355">
      <w:pPr>
        <w:rPr>
          <w:b/>
          <w:bCs/>
        </w:rPr>
      </w:pPr>
    </w:p>
    <w:p w:rsidR="00725862" w:rsidRDefault="00725862" w:rsidP="00244355">
      <w:pPr>
        <w:rPr>
          <w:b/>
          <w:bCs/>
        </w:rPr>
      </w:pPr>
    </w:p>
    <w:p w:rsidR="00725862" w:rsidRDefault="00725862" w:rsidP="00244355">
      <w:pPr>
        <w:rPr>
          <w:b/>
          <w:bCs/>
        </w:rPr>
      </w:pPr>
    </w:p>
    <w:p w:rsidR="00725862" w:rsidRDefault="00725862" w:rsidP="00244355">
      <w:pPr>
        <w:jc w:val="center"/>
        <w:rPr>
          <w:b/>
          <w:bCs/>
        </w:rPr>
      </w:pPr>
      <w:r>
        <w:rPr>
          <w:b/>
          <w:bCs/>
        </w:rPr>
        <w:t>LEGAL MEMORANDUM 09-287</w:t>
      </w:r>
    </w:p>
    <w:p w:rsidR="00725862" w:rsidRDefault="00725862" w:rsidP="00C56E06">
      <w:pPr>
        <w:spacing w:after="0" w:line="240" w:lineRule="auto"/>
        <w:rPr>
          <w:b/>
          <w:bCs/>
        </w:rPr>
      </w:pPr>
      <w:r>
        <w:rPr>
          <w:b/>
          <w:bCs/>
        </w:rPr>
        <w:t>TO:</w:t>
      </w:r>
      <w:r>
        <w:rPr>
          <w:b/>
          <w:bCs/>
        </w:rPr>
        <w:tab/>
      </w:r>
      <w:r>
        <w:rPr>
          <w:b/>
          <w:bCs/>
        </w:rPr>
        <w:tab/>
        <w:t>ALL JUSTICES OF THE PEACE</w:t>
      </w:r>
    </w:p>
    <w:p w:rsidR="00725862" w:rsidRDefault="00725862" w:rsidP="00C56E06">
      <w:pPr>
        <w:spacing w:after="0" w:line="240" w:lineRule="auto"/>
        <w:rPr>
          <w:b/>
          <w:bCs/>
        </w:rPr>
      </w:pPr>
      <w:r>
        <w:rPr>
          <w:b/>
          <w:bCs/>
        </w:rPr>
        <w:tab/>
      </w:r>
      <w:r>
        <w:rPr>
          <w:b/>
          <w:bCs/>
        </w:rPr>
        <w:tab/>
        <w:t>ALL CRIMINAL COURT MANAGERS</w:t>
      </w:r>
    </w:p>
    <w:p w:rsidR="00725862" w:rsidRDefault="00725862" w:rsidP="00C56E06">
      <w:pPr>
        <w:spacing w:after="0" w:line="240" w:lineRule="auto"/>
        <w:rPr>
          <w:b/>
          <w:bCs/>
        </w:rPr>
      </w:pPr>
    </w:p>
    <w:p w:rsidR="00725862" w:rsidRDefault="00725862" w:rsidP="00C56E06">
      <w:pPr>
        <w:spacing w:after="0" w:line="240" w:lineRule="auto"/>
        <w:rPr>
          <w:b/>
          <w:bCs/>
        </w:rPr>
      </w:pPr>
      <w:r>
        <w:rPr>
          <w:b/>
          <w:bCs/>
        </w:rPr>
        <w:t>FROM:</w:t>
      </w:r>
      <w:r>
        <w:rPr>
          <w:b/>
          <w:bCs/>
        </w:rPr>
        <w:tab/>
        <w:t>ALAN G. DAVIS</w:t>
      </w:r>
    </w:p>
    <w:p w:rsidR="00725862" w:rsidRDefault="00725862" w:rsidP="00C56E06">
      <w:pPr>
        <w:spacing w:after="0" w:line="240" w:lineRule="auto"/>
        <w:rPr>
          <w:b/>
          <w:bCs/>
        </w:rPr>
      </w:pPr>
      <w:r>
        <w:rPr>
          <w:b/>
          <w:bCs/>
        </w:rPr>
        <w:tab/>
      </w:r>
      <w:r>
        <w:rPr>
          <w:b/>
          <w:bCs/>
        </w:rPr>
        <w:tab/>
        <w:t>CHIEF MAGISTRATE</w:t>
      </w:r>
    </w:p>
    <w:p w:rsidR="00725862" w:rsidRDefault="00725862" w:rsidP="00C56E06">
      <w:pPr>
        <w:spacing w:after="0" w:line="240" w:lineRule="auto"/>
        <w:rPr>
          <w:b/>
          <w:bCs/>
        </w:rPr>
      </w:pPr>
    </w:p>
    <w:p w:rsidR="00725862" w:rsidRDefault="00725862" w:rsidP="00C56E06">
      <w:pPr>
        <w:spacing w:after="0" w:line="240" w:lineRule="auto"/>
        <w:rPr>
          <w:b/>
          <w:bCs/>
        </w:rPr>
      </w:pPr>
      <w:r>
        <w:rPr>
          <w:b/>
          <w:bCs/>
        </w:rPr>
        <w:t>DATED:</w:t>
      </w:r>
      <w:r>
        <w:rPr>
          <w:b/>
          <w:bCs/>
        </w:rPr>
        <w:tab/>
        <w:t>OCTOBER 27, 2009</w:t>
      </w:r>
    </w:p>
    <w:p w:rsidR="00725862" w:rsidRDefault="00725862" w:rsidP="00C56E06">
      <w:pPr>
        <w:spacing w:after="0" w:line="240" w:lineRule="auto"/>
        <w:rPr>
          <w:b/>
          <w:bCs/>
        </w:rPr>
      </w:pPr>
    </w:p>
    <w:p w:rsidR="00725862" w:rsidRDefault="00725862" w:rsidP="00C56E06">
      <w:pPr>
        <w:spacing w:after="0" w:line="240" w:lineRule="auto"/>
        <w:ind w:left="1440" w:hanging="1440"/>
        <w:rPr>
          <w:b/>
          <w:bCs/>
        </w:rPr>
      </w:pPr>
      <w:r>
        <w:rPr>
          <w:b/>
          <w:bCs/>
        </w:rPr>
        <w:t>RE:</w:t>
      </w:r>
      <w:r>
        <w:rPr>
          <w:b/>
          <w:bCs/>
        </w:rPr>
        <w:tab/>
        <w:t xml:space="preserve">ABROGATION OF </w:t>
      </w:r>
      <w:smartTag w:uri="urn:schemas-microsoft-com:office:smarttags" w:element="place">
        <w:smartTag w:uri="urn:schemas-microsoft-com:office:smarttags" w:element="State">
          <w:r>
            <w:rPr>
              <w:b/>
              <w:bCs/>
            </w:rPr>
            <w:t>DELAWARE</w:t>
          </w:r>
        </w:smartTag>
      </w:smartTag>
      <w:r>
        <w:rPr>
          <w:b/>
          <w:bCs/>
        </w:rPr>
        <w:t>’S INTERSPOUSAL IMMUNITY DOCTRINE</w:t>
      </w:r>
    </w:p>
    <w:p w:rsidR="00725862" w:rsidRDefault="00725862" w:rsidP="00C56E06">
      <w:pPr>
        <w:spacing w:after="0" w:line="240" w:lineRule="auto"/>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rsidR="00725862" w:rsidRDefault="00725862" w:rsidP="00AB6880">
      <w:pPr>
        <w:spacing w:after="0" w:line="240" w:lineRule="auto"/>
        <w:jc w:val="both"/>
        <w:rPr>
          <w:b/>
          <w:bCs/>
        </w:rPr>
      </w:pPr>
    </w:p>
    <w:p w:rsidR="00725862" w:rsidRDefault="00725862" w:rsidP="00AB6880">
      <w:pPr>
        <w:spacing w:after="0" w:line="240" w:lineRule="auto"/>
        <w:jc w:val="both"/>
      </w:pPr>
      <w:r>
        <w:rPr>
          <w:b/>
          <w:bCs/>
        </w:rPr>
        <w:t>Summary:</w:t>
      </w:r>
    </w:p>
    <w:p w:rsidR="00725862" w:rsidRDefault="00725862" w:rsidP="00AB6880">
      <w:pPr>
        <w:spacing w:after="0" w:line="240" w:lineRule="auto"/>
        <w:jc w:val="both"/>
      </w:pPr>
    </w:p>
    <w:p w:rsidR="00725862" w:rsidRPr="007B1938" w:rsidRDefault="00725862" w:rsidP="00AB6880">
      <w:pPr>
        <w:spacing w:after="0" w:line="240" w:lineRule="auto"/>
        <w:jc w:val="both"/>
      </w:pPr>
      <w:r>
        <w:tab/>
        <w:t xml:space="preserve">In its 1993 decision </w:t>
      </w:r>
      <w:r>
        <w:rPr>
          <w:i/>
        </w:rPr>
        <w:t>Beattie v. Beattie</w:t>
      </w:r>
      <w:r>
        <w:t>,</w:t>
      </w:r>
      <w:r>
        <w:rPr>
          <w:rStyle w:val="FootnoteReference"/>
        </w:rPr>
        <w:footnoteReference w:id="2"/>
      </w:r>
      <w:r>
        <w:t xml:space="preserve"> the Delaware Supreme Court did away with the common law doctrine of interspousal immunity.  The doctrine had barred one spouse from suing another in an action at law.  The </w:t>
      </w:r>
      <w:r w:rsidRPr="002E3093">
        <w:rPr>
          <w:i/>
        </w:rPr>
        <w:t>Beattie</w:t>
      </w:r>
      <w:r>
        <w:t xml:space="preserve"> ruling undercut Chief Magistrate’s Legal Memorandum 81-45.</w:t>
      </w:r>
      <w:r>
        <w:rPr>
          <w:rStyle w:val="FootnoteReference"/>
        </w:rPr>
        <w:footnoteReference w:id="3"/>
      </w:r>
      <w:r>
        <w:t xml:space="preserve">  That Memorandum had relied on an earlier Supreme Court decision to instruct that interspousal barred a replevin action by one spouse against the other.  This Memorandum rescinds LM 81-45 and proffers the modern view that spouses are no longer barred from suing one another in an action at law.   </w:t>
      </w:r>
    </w:p>
    <w:p w:rsidR="00725862" w:rsidRDefault="00725862" w:rsidP="00AB6880">
      <w:pPr>
        <w:spacing w:after="0" w:line="240" w:lineRule="auto"/>
        <w:jc w:val="both"/>
      </w:pPr>
    </w:p>
    <w:p w:rsidR="00725862" w:rsidRDefault="00725862" w:rsidP="00AB6880">
      <w:pPr>
        <w:spacing w:after="0" w:line="240" w:lineRule="auto"/>
        <w:jc w:val="both"/>
        <w:rPr>
          <w:b/>
          <w:bCs/>
        </w:rPr>
      </w:pPr>
      <w:r w:rsidRPr="007B1938">
        <w:rPr>
          <w:b/>
          <w:bCs/>
        </w:rPr>
        <w:t>Discussion</w:t>
      </w:r>
      <w:r>
        <w:rPr>
          <w:b/>
          <w:bCs/>
        </w:rPr>
        <w:t>:</w:t>
      </w:r>
    </w:p>
    <w:p w:rsidR="00725862" w:rsidRDefault="00725862" w:rsidP="00AB6880">
      <w:pPr>
        <w:spacing w:after="0" w:line="240" w:lineRule="auto"/>
        <w:jc w:val="both"/>
        <w:rPr>
          <w:bCs/>
        </w:rPr>
      </w:pPr>
    </w:p>
    <w:p w:rsidR="00725862" w:rsidRPr="002E3093" w:rsidRDefault="00725862" w:rsidP="00AB6880">
      <w:pPr>
        <w:spacing w:after="0" w:line="240" w:lineRule="auto"/>
        <w:jc w:val="both"/>
      </w:pPr>
      <w:r>
        <w:rPr>
          <w:bCs/>
          <w:u w:val="single"/>
        </w:rPr>
        <w:t xml:space="preserve">State of the Law Prior to </w:t>
      </w:r>
      <w:r>
        <w:rPr>
          <w:bCs/>
          <w:i/>
          <w:u w:val="single"/>
        </w:rPr>
        <w:t>Beattie</w:t>
      </w:r>
    </w:p>
    <w:p w:rsidR="00725862" w:rsidRDefault="00725862" w:rsidP="00AB6880">
      <w:pPr>
        <w:spacing w:after="0" w:line="240" w:lineRule="auto"/>
        <w:jc w:val="both"/>
      </w:pPr>
    </w:p>
    <w:p w:rsidR="00725862" w:rsidRDefault="00725862" w:rsidP="003454FB">
      <w:pPr>
        <w:spacing w:after="0" w:line="240" w:lineRule="auto"/>
        <w:jc w:val="both"/>
      </w:pPr>
      <w:r>
        <w:tab/>
        <w:t xml:space="preserve">Historically, </w:t>
      </w:r>
      <w:smartTag w:uri="urn:schemas-microsoft-com:office:smarttags" w:element="place">
        <w:smartTag w:uri="urn:schemas-microsoft-com:office:smarttags" w:element="State">
          <w:r>
            <w:t>Delaware</w:t>
          </w:r>
        </w:smartTag>
      </w:smartTag>
      <w:r>
        <w:t xml:space="preserve"> courts adhered to the doctrine that one spouse could not maintain an action at law against the other.  This long-standing doctrine, known as “interspousal immunity,” had originated out of the common law principle that “the legal existence of the wife was merged in that of her husband, and they were termed and regarded as one person at law.”</w:t>
      </w:r>
      <w:r>
        <w:rPr>
          <w:rStyle w:val="FootnoteReference"/>
        </w:rPr>
        <w:footnoteReference w:id="4"/>
      </w:r>
      <w:r>
        <w:t xml:space="preserve">  If spouses were one person at law, an action at law between them effectively meant the plaintiff was suing him or herself.</w:t>
      </w:r>
    </w:p>
    <w:p w:rsidR="00725862" w:rsidRDefault="00725862" w:rsidP="003454FB">
      <w:pPr>
        <w:spacing w:after="0" w:line="240" w:lineRule="auto"/>
        <w:jc w:val="both"/>
      </w:pPr>
    </w:p>
    <w:p w:rsidR="00725862" w:rsidRDefault="00725862" w:rsidP="004430D7">
      <w:pPr>
        <w:spacing w:after="0" w:line="240" w:lineRule="auto"/>
        <w:ind w:firstLine="720"/>
        <w:jc w:val="both"/>
      </w:pPr>
      <w:r>
        <w:t xml:space="preserve">The doctrine conferred immunity on tort-feasing spouses and prevented one spouse from successfully suing the other.  Like most litigation in which a party raises an immunity defense, the liability of the defendant is immaterial: even though the defendant committed the tortious act, interspousal immunity barred any judgment against him or her.  As a result, on motion, courts often dismissed suits between spouses at the outset.    </w:t>
      </w:r>
    </w:p>
    <w:p w:rsidR="00725862" w:rsidRDefault="00725862" w:rsidP="003454FB">
      <w:pPr>
        <w:spacing w:after="0" w:line="240" w:lineRule="auto"/>
        <w:jc w:val="both"/>
      </w:pPr>
    </w:p>
    <w:p w:rsidR="00725862" w:rsidRDefault="00725862" w:rsidP="00760B5B">
      <w:pPr>
        <w:spacing w:after="0" w:line="240" w:lineRule="auto"/>
        <w:ind w:firstLine="720"/>
        <w:jc w:val="both"/>
      </w:pPr>
      <w:r>
        <w:t>As late as 1979, the Delaware Supreme Court reaffirmed the doctrine in</w:t>
      </w:r>
      <w:r w:rsidRPr="00760B5B">
        <w:rPr>
          <w:i/>
        </w:rPr>
        <w:t xml:space="preserve"> </w:t>
      </w:r>
      <w:r w:rsidRPr="006C38B4">
        <w:rPr>
          <w:i/>
        </w:rPr>
        <w:t>Alfree v. Alfree</w:t>
      </w:r>
      <w:r>
        <w:t>.</w:t>
      </w:r>
      <w:r>
        <w:rPr>
          <w:rStyle w:val="FootnoteReference"/>
        </w:rPr>
        <w:footnoteReference w:id="5"/>
      </w:r>
      <w:r>
        <w:t xml:space="preserve">  The Court observed, “It is settled law in </w:t>
      </w:r>
      <w:smartTag w:uri="urn:schemas-microsoft-com:office:smarttags" w:element="State">
        <w:smartTag w:uri="urn:schemas-microsoft-com:office:smarttags" w:element="place">
          <w:r>
            <w:t>Delaware</w:t>
          </w:r>
        </w:smartTag>
      </w:smartTag>
      <w:r>
        <w:t xml:space="preserve"> that one spouse may not sue the other at law in tort.”</w:t>
      </w:r>
      <w:r>
        <w:rPr>
          <w:rStyle w:val="FootnoteReference"/>
        </w:rPr>
        <w:footnoteReference w:id="6"/>
      </w:r>
      <w:r>
        <w:t xml:space="preserve">  There were two justifications for retaining the doctrine: 1) it would preserve family harmony by avoiding the disharmonious feelings that often arise between adverse parties to a lawsuit, and 2) it would prevent potential fraud by and collusion between spouses who might fake an injury to collect on insurance.  Although it recognized the doctrine’s unpopularity, the </w:t>
      </w:r>
      <w:smartTag w:uri="urn:schemas-microsoft-com:office:smarttags" w:element="address">
        <w:smartTag w:uri="urn:schemas-microsoft-com:office:smarttags" w:element="Street">
          <w:r w:rsidRPr="006C38B4">
            <w:rPr>
              <w:i/>
            </w:rPr>
            <w:t>Alfree</w:t>
          </w:r>
          <w:r>
            <w:t xml:space="preserve"> Court</w:t>
          </w:r>
        </w:smartTag>
      </w:smartTag>
      <w:r>
        <w:t>, nevertheless, felt that it was the role of the legislature to abrogate the doctrine.</w:t>
      </w:r>
      <w:r>
        <w:rPr>
          <w:rStyle w:val="FootnoteReference"/>
        </w:rPr>
        <w:footnoteReference w:id="7"/>
      </w:r>
      <w:r>
        <w:t xml:space="preserve"> </w:t>
      </w:r>
    </w:p>
    <w:p w:rsidR="00725862" w:rsidRDefault="00725862" w:rsidP="00760B5B">
      <w:pPr>
        <w:spacing w:after="0" w:line="240" w:lineRule="auto"/>
        <w:ind w:firstLine="720"/>
        <w:jc w:val="both"/>
      </w:pPr>
    </w:p>
    <w:p w:rsidR="00725862" w:rsidRDefault="00725862" w:rsidP="00760B5B">
      <w:pPr>
        <w:spacing w:after="0" w:line="240" w:lineRule="auto"/>
        <w:ind w:firstLine="720"/>
        <w:jc w:val="both"/>
      </w:pPr>
      <w:r>
        <w:t xml:space="preserve">The </w:t>
      </w:r>
      <w:r>
        <w:rPr>
          <w:i/>
        </w:rPr>
        <w:t>Alfree</w:t>
      </w:r>
      <w:r>
        <w:t xml:space="preserve"> decision formed the basis of Chief Magistrate’s Legal Memorandum 81-45, “The Interspousal Immunity Doctrine.”</w:t>
      </w:r>
      <w:r>
        <w:rPr>
          <w:rStyle w:val="FootnoteReference"/>
        </w:rPr>
        <w:footnoteReference w:id="8"/>
      </w:r>
      <w:r>
        <w:t xml:space="preserve"> In that memorandum, then-Chief Magistrate Norman A. Barron described how </w:t>
      </w:r>
      <w:r>
        <w:rPr>
          <w:i/>
        </w:rPr>
        <w:t>Alfree</w:t>
      </w:r>
      <w:r>
        <w:t xml:space="preserve"> and interspousal immunity would prevent a husband from maintaining a replevin action in Justice of the Peace Court against his estranged spouse for the recovery of furniture that was purchased by him prior to the marriage.  Although the memorandum recommended that a judge should dismiss an action for replevin filed by one spouse against the other, it concluded that Chancery Court, as a court of equity and not a court of law, could afford the husband relief.</w:t>
      </w:r>
      <w:r>
        <w:rPr>
          <w:rStyle w:val="FootnoteReference"/>
        </w:rPr>
        <w:footnoteReference w:id="9"/>
      </w:r>
    </w:p>
    <w:p w:rsidR="00725862" w:rsidRDefault="00725862" w:rsidP="002E3093">
      <w:pPr>
        <w:spacing w:after="0" w:line="240" w:lineRule="auto"/>
        <w:jc w:val="both"/>
      </w:pPr>
    </w:p>
    <w:p w:rsidR="00725862" w:rsidRPr="002E3093" w:rsidRDefault="00725862" w:rsidP="002E3093">
      <w:pPr>
        <w:spacing w:after="0" w:line="240" w:lineRule="auto"/>
        <w:jc w:val="both"/>
        <w:rPr>
          <w:u w:val="single"/>
        </w:rPr>
      </w:pPr>
      <w:r>
        <w:rPr>
          <w:u w:val="single"/>
        </w:rPr>
        <w:t xml:space="preserve">The </w:t>
      </w:r>
      <w:r>
        <w:rPr>
          <w:i/>
          <w:u w:val="single"/>
        </w:rPr>
        <w:t>Beattie</w:t>
      </w:r>
      <w:r>
        <w:rPr>
          <w:u w:val="single"/>
        </w:rPr>
        <w:t xml:space="preserve"> Decision</w:t>
      </w:r>
    </w:p>
    <w:p w:rsidR="00725862" w:rsidRDefault="00725862" w:rsidP="00760B5B">
      <w:pPr>
        <w:spacing w:after="0" w:line="240" w:lineRule="auto"/>
        <w:ind w:firstLine="720"/>
        <w:jc w:val="both"/>
      </w:pPr>
    </w:p>
    <w:p w:rsidR="00725862" w:rsidRPr="00760B5B" w:rsidRDefault="00725862" w:rsidP="00760B5B">
      <w:pPr>
        <w:spacing w:after="0" w:line="240" w:lineRule="auto"/>
        <w:ind w:firstLine="720"/>
        <w:jc w:val="both"/>
      </w:pPr>
      <w:r>
        <w:t xml:space="preserve">All this changed in 1993 when the Delaware Supreme Court handed down its decision in </w:t>
      </w:r>
      <w:r w:rsidRPr="00810B16">
        <w:rPr>
          <w:i/>
        </w:rPr>
        <w:t>Beattie v. Beattie</w:t>
      </w:r>
      <w:r>
        <w:rPr>
          <w:i/>
        </w:rPr>
        <w:t>.</w:t>
      </w:r>
      <w:r>
        <w:rPr>
          <w:rStyle w:val="FootnoteReference"/>
        </w:rPr>
        <w:footnoteReference w:id="10"/>
      </w:r>
      <w:r>
        <w:t xml:space="preserve"> In </w:t>
      </w:r>
      <w:r w:rsidRPr="00760B5B">
        <w:rPr>
          <w:i/>
        </w:rPr>
        <w:t>Beattie</w:t>
      </w:r>
      <w:r>
        <w:t xml:space="preserve"> a wife sued her husband on negligence theory for serious injuries she sustained in a car accident in which her husband was the driver.  The husband was covered by substantial liability insurance and the couple had no plans to divorce after the accident.  This was the type of action at law that was barred under </w:t>
      </w:r>
      <w:r>
        <w:rPr>
          <w:i/>
        </w:rPr>
        <w:t>Alfree</w:t>
      </w:r>
      <w:r>
        <w:t>.</w:t>
      </w:r>
    </w:p>
    <w:p w:rsidR="00725862" w:rsidRDefault="00725862" w:rsidP="00760B5B">
      <w:pPr>
        <w:spacing w:after="0" w:line="240" w:lineRule="auto"/>
        <w:ind w:firstLine="720"/>
        <w:jc w:val="both"/>
      </w:pPr>
    </w:p>
    <w:p w:rsidR="00725862" w:rsidRPr="00760B5B" w:rsidRDefault="00725862" w:rsidP="00760B5B">
      <w:pPr>
        <w:spacing w:after="0" w:line="240" w:lineRule="auto"/>
        <w:ind w:firstLine="720"/>
        <w:jc w:val="both"/>
      </w:pPr>
      <w:r w:rsidRPr="00760B5B">
        <w:rPr>
          <w:i/>
        </w:rPr>
        <w:t>Beattie</w:t>
      </w:r>
      <w:r>
        <w:t xml:space="preserve"> expressly overturned the </w:t>
      </w:r>
      <w:r>
        <w:rPr>
          <w:i/>
        </w:rPr>
        <w:t>Alfree</w:t>
      </w:r>
      <w:r>
        <w:t xml:space="preserve"> holding and abrogated interspousal immunity.  Two observations prompted this change. First, the Court noted that interspousal immunity was a judicially-created doctrine that had not been codified in a statute.  As a result, the doctrine, having been created by a court, was susceptible to change by a court.  Second, it was the “duty of this Court to review common law rules to ensure that the conditions and policy objectives that justify the rules remain relevant and valid.”</w:t>
      </w:r>
      <w:r>
        <w:rPr>
          <w:rStyle w:val="FootnoteReference"/>
        </w:rPr>
        <w:footnoteReference w:id="11"/>
      </w:r>
    </w:p>
    <w:p w:rsidR="00725862" w:rsidRDefault="00725862" w:rsidP="00760B5B">
      <w:pPr>
        <w:spacing w:after="0" w:line="240" w:lineRule="auto"/>
        <w:ind w:firstLine="720"/>
        <w:jc w:val="both"/>
      </w:pPr>
    </w:p>
    <w:p w:rsidR="00725862" w:rsidRDefault="00725862" w:rsidP="002E3093">
      <w:pPr>
        <w:spacing w:after="0" w:line="240" w:lineRule="auto"/>
        <w:ind w:firstLine="720"/>
        <w:jc w:val="both"/>
      </w:pPr>
      <w:r>
        <w:t xml:space="preserve">  </w:t>
      </w:r>
      <w:r w:rsidRPr="002E3093">
        <w:rPr>
          <w:i/>
        </w:rPr>
        <w:t>Beattie</w:t>
      </w:r>
      <w:r>
        <w:t xml:space="preserve"> also discounted the </w:t>
      </w:r>
      <w:r w:rsidRPr="00846F12">
        <w:rPr>
          <w:i/>
        </w:rPr>
        <w:t>Alfree</w:t>
      </w:r>
      <w:r>
        <w:t xml:space="preserve"> justifications for retaining the doctrine.</w:t>
      </w:r>
      <w:r>
        <w:rPr>
          <w:rStyle w:val="FootnoteReference"/>
        </w:rPr>
        <w:footnoteReference w:id="12"/>
      </w:r>
      <w:r>
        <w:t xml:space="preserve"> Rather than preserving family harmony, </w:t>
      </w:r>
      <w:r>
        <w:rPr>
          <w:i/>
        </w:rPr>
        <w:t>Beattie</w:t>
      </w:r>
      <w:r>
        <w:t xml:space="preserve"> concluded interspousal immunity was apt to disrupt it.  First, if the married couple had to pay large medical bills without the benefit of liability insurance proceeds, “the added financial burden could promote marital discord.”</w:t>
      </w:r>
      <w:r>
        <w:rPr>
          <w:rStyle w:val="FootnoteReference"/>
        </w:rPr>
        <w:footnoteReference w:id="13"/>
      </w:r>
      <w:r>
        <w:t xml:space="preserve">  Moreover, married couples who could not afford the medical expenses might be relegated to sue for divorce to avoid the interspousal immunity bar and be free to recover insurance proceeds.</w:t>
      </w:r>
      <w:r>
        <w:rPr>
          <w:rStyle w:val="FootnoteReference"/>
        </w:rPr>
        <w:footnoteReference w:id="14"/>
      </w:r>
      <w:r>
        <w:t xml:space="preserve"> The </w:t>
      </w:r>
      <w:smartTag w:uri="urn:schemas-microsoft-com:office:smarttags" w:element="address">
        <w:smartTag w:uri="urn:schemas-microsoft-com:office:smarttags" w:element="Street">
          <w:r w:rsidRPr="002E3093">
            <w:rPr>
              <w:i/>
            </w:rPr>
            <w:t xml:space="preserve">Beattie </w:t>
          </w:r>
          <w:r>
            <w:t>Court</w:t>
          </w:r>
        </w:smartTag>
      </w:smartTag>
      <w:r>
        <w:t xml:space="preserve"> was similarly unpersuaded by the fraud and collusion justification. Rather, it reasoned “[i]t is unnecessary and unwise to deny legitimate claims in order to prevent fraudulent and collusive suits” because “the judicial system is adept at ferreting out frivolous and unfounded cases.”</w:t>
      </w:r>
      <w:r>
        <w:rPr>
          <w:rStyle w:val="FootnoteReference"/>
        </w:rPr>
        <w:footnoteReference w:id="15"/>
      </w:r>
      <w:r>
        <w:t xml:space="preserve">  </w:t>
      </w:r>
    </w:p>
    <w:p w:rsidR="00725862" w:rsidRDefault="00725862" w:rsidP="00760B5B">
      <w:pPr>
        <w:spacing w:after="0" w:line="240" w:lineRule="auto"/>
        <w:jc w:val="both"/>
      </w:pPr>
    </w:p>
    <w:p w:rsidR="00725862" w:rsidRPr="002E3093" w:rsidRDefault="00725862" w:rsidP="00760B5B">
      <w:pPr>
        <w:spacing w:after="0" w:line="240" w:lineRule="auto"/>
        <w:jc w:val="both"/>
        <w:rPr>
          <w:u w:val="single"/>
        </w:rPr>
      </w:pPr>
      <w:r>
        <w:rPr>
          <w:u w:val="single"/>
        </w:rPr>
        <w:t xml:space="preserve">The Impact of </w:t>
      </w:r>
      <w:r>
        <w:rPr>
          <w:i/>
          <w:u w:val="single"/>
        </w:rPr>
        <w:t>Beattie</w:t>
      </w:r>
    </w:p>
    <w:p w:rsidR="00725862" w:rsidRDefault="00725862" w:rsidP="00760B5B">
      <w:pPr>
        <w:spacing w:after="0" w:line="240" w:lineRule="auto"/>
        <w:jc w:val="both"/>
      </w:pPr>
    </w:p>
    <w:p w:rsidR="00725862" w:rsidRDefault="00725862" w:rsidP="00760B5B">
      <w:pPr>
        <w:spacing w:after="0" w:line="240" w:lineRule="auto"/>
        <w:jc w:val="both"/>
      </w:pPr>
      <w:r>
        <w:tab/>
        <w:t xml:space="preserve">The obvious effect of </w:t>
      </w:r>
      <w:r>
        <w:rPr>
          <w:i/>
        </w:rPr>
        <w:t>Beattie</w:t>
      </w:r>
      <w:r>
        <w:tab/>
        <w:t xml:space="preserve">is that spouses are now free to sue each other at law.  Several questions, however, might arise given the negligence tort context and insurance-driven rationale of that decision.  Foreseeing one such question, </w:t>
      </w:r>
      <w:r>
        <w:rPr>
          <w:i/>
        </w:rPr>
        <w:t>Beattie</w:t>
      </w:r>
      <w:r>
        <w:t xml:space="preserve"> noted that although it was decided in the context of a negligent tort, “the rationale underlying the abrogation of the Doctrine in the context of negligence actions would apply to intentional torts.”</w:t>
      </w:r>
      <w:r>
        <w:rPr>
          <w:rStyle w:val="FootnoteReference"/>
        </w:rPr>
        <w:footnoteReference w:id="16"/>
      </w:r>
      <w:r>
        <w:t xml:space="preserve"> </w:t>
      </w:r>
    </w:p>
    <w:p w:rsidR="00725862" w:rsidRDefault="00725862" w:rsidP="00760B5B">
      <w:pPr>
        <w:spacing w:after="0" w:line="240" w:lineRule="auto"/>
        <w:jc w:val="both"/>
      </w:pPr>
    </w:p>
    <w:p w:rsidR="00725862" w:rsidRDefault="00725862" w:rsidP="002E3093">
      <w:pPr>
        <w:spacing w:after="0" w:line="240" w:lineRule="auto"/>
        <w:ind w:firstLine="720"/>
        <w:jc w:val="both"/>
      </w:pPr>
      <w:r>
        <w:t xml:space="preserve">Since the </w:t>
      </w:r>
      <w:r>
        <w:rPr>
          <w:i/>
        </w:rPr>
        <w:t>Beattie</w:t>
      </w:r>
      <w:r>
        <w:t xml:space="preserve"> result, for the most part, was driven by the availability of proceeds from insurers, one could argue that the Court abrogated the doctrine only to the extent such proceeds were available, </w:t>
      </w:r>
      <w:r>
        <w:rPr>
          <w:i/>
        </w:rPr>
        <w:t>i.e.</w:t>
      </w:r>
      <w:r>
        <w:t xml:space="preserve"> to the limits of the liability insurance policy. The Court, however, saw no reason to limit the recovery by the injured spouse to the policy limits.  “[M]aking insurance coverage the limit on liability may have the practical effect of leaving the injured spouse far from compensated for his or her suffering.”</w:t>
      </w:r>
      <w:r>
        <w:rPr>
          <w:rStyle w:val="FootnoteReference"/>
        </w:rPr>
        <w:footnoteReference w:id="17"/>
      </w:r>
      <w:r>
        <w:t xml:space="preserve">   </w:t>
      </w:r>
    </w:p>
    <w:p w:rsidR="00725862" w:rsidRDefault="00725862" w:rsidP="00760B5B">
      <w:pPr>
        <w:spacing w:after="0" w:line="240" w:lineRule="auto"/>
        <w:jc w:val="both"/>
      </w:pPr>
      <w:r>
        <w:tab/>
      </w:r>
    </w:p>
    <w:p w:rsidR="00725862" w:rsidRPr="000A6521" w:rsidRDefault="00725862" w:rsidP="00ED4B4C">
      <w:pPr>
        <w:spacing w:after="0" w:line="240" w:lineRule="auto"/>
        <w:jc w:val="both"/>
        <w:rPr>
          <w:b/>
          <w:bCs/>
        </w:rPr>
      </w:pPr>
      <w:r>
        <w:rPr>
          <w:b/>
          <w:bCs/>
        </w:rPr>
        <w:t>Conclusion:</w:t>
      </w:r>
    </w:p>
    <w:p w:rsidR="00725862" w:rsidRDefault="00725862" w:rsidP="00ED4B4C">
      <w:pPr>
        <w:spacing w:after="0" w:line="240" w:lineRule="auto"/>
        <w:jc w:val="both"/>
      </w:pPr>
    </w:p>
    <w:p w:rsidR="00725862" w:rsidRPr="002E3093" w:rsidRDefault="00725862" w:rsidP="00ED4B4C">
      <w:pPr>
        <w:spacing w:after="0" w:line="240" w:lineRule="auto"/>
        <w:jc w:val="both"/>
      </w:pPr>
      <w:r>
        <w:tab/>
        <w:t xml:space="preserve">The doctrine of interspousal immunity is no longer the law in </w:t>
      </w:r>
      <w:smartTag w:uri="urn:schemas-microsoft-com:office:smarttags" w:element="place">
        <w:smartTag w:uri="urn:schemas-microsoft-com:office:smarttags" w:element="State">
          <w:r>
            <w:t>Delaware</w:t>
          </w:r>
        </w:smartTag>
      </w:smartTag>
      <w:r>
        <w:t xml:space="preserve">.  The Delaware Supreme Court abrogated that doctrine in its 1993 decision </w:t>
      </w:r>
      <w:r>
        <w:rPr>
          <w:i/>
        </w:rPr>
        <w:t>Beattie v. Beattie</w:t>
      </w:r>
      <w:r>
        <w:t xml:space="preserve">.  Thus, a spouse is no longer barred from suing the other spouse in an action at law.  Chief Magistrate’s Legal Memorandum 81-45, which commented on the law as it formerly existed, is hereby rescinded. </w:t>
      </w:r>
    </w:p>
    <w:sectPr w:rsidR="00725862" w:rsidRPr="002E3093" w:rsidSect="00244355">
      <w:footerReference w:type="default" r:id="rId7"/>
      <w:pgSz w:w="12240" w:h="15840"/>
      <w:pgMar w:top="108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5862" w:rsidRDefault="00725862" w:rsidP="008A0CF6">
      <w:pPr>
        <w:spacing w:after="0" w:line="240" w:lineRule="auto"/>
      </w:pPr>
      <w:r>
        <w:separator/>
      </w:r>
    </w:p>
  </w:endnote>
  <w:endnote w:type="continuationSeparator" w:id="1">
    <w:p w:rsidR="00725862" w:rsidRDefault="00725862" w:rsidP="008A0C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862" w:rsidRDefault="00725862">
    <w:pPr>
      <w:pStyle w:val="Footer"/>
      <w:jc w:val="center"/>
    </w:pPr>
    <w:fldSimple w:instr=" PAGE   \* MERGEFORMAT ">
      <w:r>
        <w:rPr>
          <w:noProof/>
        </w:rPr>
        <w:t>3</w:t>
      </w:r>
    </w:fldSimple>
  </w:p>
  <w:p w:rsidR="00725862" w:rsidRDefault="007258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5862" w:rsidRDefault="00725862" w:rsidP="008A0CF6">
      <w:pPr>
        <w:spacing w:after="0" w:line="240" w:lineRule="auto"/>
      </w:pPr>
      <w:r>
        <w:separator/>
      </w:r>
    </w:p>
  </w:footnote>
  <w:footnote w:type="continuationSeparator" w:id="1">
    <w:p w:rsidR="00725862" w:rsidRDefault="00725862" w:rsidP="008A0CF6">
      <w:pPr>
        <w:spacing w:after="0" w:line="240" w:lineRule="auto"/>
      </w:pPr>
      <w:r>
        <w:continuationSeparator/>
      </w:r>
    </w:p>
  </w:footnote>
  <w:footnote w:id="2">
    <w:p w:rsidR="00725862" w:rsidRDefault="00725862">
      <w:pPr>
        <w:pStyle w:val="FootnoteText"/>
      </w:pPr>
      <w:r>
        <w:rPr>
          <w:rStyle w:val="FootnoteReference"/>
        </w:rPr>
        <w:footnoteRef/>
      </w:r>
      <w:r>
        <w:t xml:space="preserve"> 630 A.2d 1096 (Del. 1993).</w:t>
      </w:r>
    </w:p>
  </w:footnote>
  <w:footnote w:id="3">
    <w:p w:rsidR="00725862" w:rsidRDefault="00725862">
      <w:pPr>
        <w:pStyle w:val="FootnoteText"/>
      </w:pPr>
      <w:r>
        <w:rPr>
          <w:rStyle w:val="FootnoteReference"/>
        </w:rPr>
        <w:footnoteRef/>
      </w:r>
      <w:r>
        <w:t xml:space="preserve"> LM 81-45 (Mar. 12, 1981), </w:t>
      </w:r>
      <w:hyperlink r:id="rId1" w:history="1">
        <w:r w:rsidRPr="00536C4C">
          <w:rPr>
            <w:rStyle w:val="Hyperlink"/>
          </w:rPr>
          <w:t>http://courts.delaware.gov/legal%20memoranda/download.aspx?ID=14898</w:t>
        </w:r>
      </w:hyperlink>
    </w:p>
  </w:footnote>
  <w:footnote w:id="4">
    <w:p w:rsidR="00725862" w:rsidRDefault="00725862" w:rsidP="004430D7">
      <w:pPr>
        <w:pStyle w:val="FootnoteText"/>
      </w:pPr>
      <w:r>
        <w:rPr>
          <w:rStyle w:val="FootnoteReference"/>
        </w:rPr>
        <w:footnoteRef/>
      </w:r>
      <w:r>
        <w:t xml:space="preserve"> </w:t>
      </w:r>
      <w:r w:rsidRPr="00F43557">
        <w:rPr>
          <w:i/>
        </w:rPr>
        <w:t>Plotkin v. Plotkin</w:t>
      </w:r>
      <w:r>
        <w:t>, 125 A. 455 (Del.Super. 1924).</w:t>
      </w:r>
    </w:p>
  </w:footnote>
  <w:footnote w:id="5">
    <w:p w:rsidR="00725862" w:rsidRDefault="00725862">
      <w:pPr>
        <w:pStyle w:val="FootnoteText"/>
      </w:pPr>
      <w:r>
        <w:rPr>
          <w:rStyle w:val="FootnoteReference"/>
        </w:rPr>
        <w:footnoteRef/>
      </w:r>
      <w:r>
        <w:t>, 410 A.2d 161 (Del. 1979).</w:t>
      </w:r>
    </w:p>
  </w:footnote>
  <w:footnote w:id="6">
    <w:p w:rsidR="00725862" w:rsidRDefault="00725862">
      <w:pPr>
        <w:pStyle w:val="FootnoteText"/>
      </w:pPr>
      <w:r>
        <w:rPr>
          <w:rStyle w:val="FootnoteReference"/>
        </w:rPr>
        <w:footnoteRef/>
      </w:r>
      <w:r>
        <w:t xml:space="preserve"> </w:t>
      </w:r>
      <w:smartTag w:uri="urn:schemas-microsoft-com:office:smarttags" w:element="State">
        <w:smartTag w:uri="urn:schemas-microsoft-com:office:smarttags" w:element="place">
          <w:r w:rsidRPr="006C38B4">
            <w:rPr>
              <w:i/>
            </w:rPr>
            <w:t>Id</w:t>
          </w:r>
          <w:r>
            <w:t>.</w:t>
          </w:r>
        </w:smartTag>
      </w:smartTag>
      <w:r>
        <w:t xml:space="preserve"> at 162.</w:t>
      </w:r>
    </w:p>
  </w:footnote>
  <w:footnote w:id="7">
    <w:p w:rsidR="00725862" w:rsidRDefault="00725862">
      <w:pPr>
        <w:pStyle w:val="FootnoteText"/>
      </w:pPr>
      <w:r>
        <w:rPr>
          <w:rStyle w:val="FootnoteReference"/>
        </w:rPr>
        <w:footnoteRef/>
      </w:r>
      <w:r>
        <w:t xml:space="preserve"> </w:t>
      </w:r>
      <w:smartTag w:uri="urn:schemas-microsoft-com:office:smarttags" w:element="State">
        <w:smartTag w:uri="urn:schemas-microsoft-com:office:smarttags" w:element="place">
          <w:r w:rsidRPr="003D11F8">
            <w:rPr>
              <w:i/>
            </w:rPr>
            <w:t>Id</w:t>
          </w:r>
          <w:r>
            <w:t>.</w:t>
          </w:r>
        </w:smartTag>
      </w:smartTag>
      <w:r>
        <w:t xml:space="preserve"> at 163.</w:t>
      </w:r>
    </w:p>
  </w:footnote>
  <w:footnote w:id="8">
    <w:p w:rsidR="00725862" w:rsidRDefault="00725862">
      <w:pPr>
        <w:pStyle w:val="FootnoteText"/>
      </w:pPr>
      <w:r>
        <w:rPr>
          <w:rStyle w:val="FootnoteReference"/>
        </w:rPr>
        <w:footnoteRef/>
      </w:r>
      <w:r>
        <w:t xml:space="preserve"> LM 81-45 (Mar. 12, 1981), </w:t>
      </w:r>
      <w:hyperlink r:id="rId2" w:history="1">
        <w:r w:rsidRPr="00536C4C">
          <w:rPr>
            <w:rStyle w:val="Hyperlink"/>
          </w:rPr>
          <w:t>http://courts.delaware.gov/legal%20memoranda/download.aspx?ID=14898</w:t>
        </w:r>
      </w:hyperlink>
    </w:p>
  </w:footnote>
  <w:footnote w:id="9">
    <w:p w:rsidR="00725862" w:rsidRDefault="00725862">
      <w:pPr>
        <w:pStyle w:val="FootnoteText"/>
      </w:pPr>
      <w:r>
        <w:rPr>
          <w:rStyle w:val="FootnoteReference"/>
        </w:rPr>
        <w:footnoteRef/>
      </w:r>
      <w:r>
        <w:t xml:space="preserve"> </w:t>
      </w:r>
      <w:smartTag w:uri="urn:schemas-microsoft-com:office:smarttags" w:element="place">
        <w:smartTag w:uri="urn:schemas-microsoft-com:office:smarttags" w:element="State">
          <w:r>
            <w:rPr>
              <w:i/>
            </w:rPr>
            <w:t>Id.</w:t>
          </w:r>
        </w:smartTag>
      </w:smartTag>
      <w:r>
        <w:t xml:space="preserve"> At 3, </w:t>
      </w:r>
      <w:r w:rsidRPr="00760B5B">
        <w:rPr>
          <w:i/>
        </w:rPr>
        <w:t>citing</w:t>
      </w:r>
      <w:r>
        <w:t xml:space="preserve"> </w:t>
      </w:r>
      <w:r>
        <w:rPr>
          <w:i/>
        </w:rPr>
        <w:t>duPont v. duPont</w:t>
      </w:r>
      <w:r>
        <w:t>, 98 A.2d 493 (Del. Ch. 1953).</w:t>
      </w:r>
    </w:p>
  </w:footnote>
  <w:footnote w:id="10">
    <w:p w:rsidR="00725862" w:rsidRDefault="00725862">
      <w:pPr>
        <w:pStyle w:val="FootnoteText"/>
      </w:pPr>
      <w:r>
        <w:rPr>
          <w:rStyle w:val="FootnoteReference"/>
        </w:rPr>
        <w:footnoteRef/>
      </w:r>
      <w:r>
        <w:t xml:space="preserve"> 630 A.2d 1096 (Del. 1993).</w:t>
      </w:r>
    </w:p>
  </w:footnote>
  <w:footnote w:id="11">
    <w:p w:rsidR="00725862" w:rsidRDefault="00725862" w:rsidP="002E3093">
      <w:pPr>
        <w:spacing w:after="0" w:line="240" w:lineRule="auto"/>
        <w:jc w:val="both"/>
      </w:pPr>
      <w:r w:rsidRPr="00760B5B">
        <w:rPr>
          <w:rStyle w:val="FootnoteReference"/>
          <w:sz w:val="20"/>
          <w:szCs w:val="20"/>
        </w:rPr>
        <w:footnoteRef/>
      </w:r>
      <w:r w:rsidRPr="00760B5B">
        <w:rPr>
          <w:sz w:val="20"/>
          <w:szCs w:val="20"/>
        </w:rPr>
        <w:t xml:space="preserve"> 630 A.2d at 1098.</w:t>
      </w:r>
    </w:p>
  </w:footnote>
  <w:footnote w:id="12">
    <w:p w:rsidR="00725862" w:rsidRDefault="00725862">
      <w:pPr>
        <w:pStyle w:val="FootnoteText"/>
      </w:pPr>
      <w:r>
        <w:rPr>
          <w:rStyle w:val="FootnoteReference"/>
        </w:rPr>
        <w:footnoteRef/>
      </w:r>
      <w:r>
        <w:t xml:space="preserve"> Recall that those justifications were preserving family harmony, and preventing fraud and collusion.</w:t>
      </w:r>
    </w:p>
  </w:footnote>
  <w:footnote w:id="13">
    <w:p w:rsidR="00725862" w:rsidRDefault="00725862">
      <w:pPr>
        <w:pStyle w:val="FootnoteText"/>
      </w:pPr>
      <w:r>
        <w:rPr>
          <w:rStyle w:val="FootnoteReference"/>
        </w:rPr>
        <w:footnoteRef/>
      </w:r>
      <w:r>
        <w:t xml:space="preserve"> </w:t>
      </w:r>
      <w:r w:rsidRPr="002E3093">
        <w:t>630 A.2d</w:t>
      </w:r>
      <w:r>
        <w:rPr>
          <w:i/>
        </w:rPr>
        <w:t xml:space="preserve"> </w:t>
      </w:r>
      <w:r w:rsidRPr="002E3093">
        <w:t>at 1098.</w:t>
      </w:r>
    </w:p>
  </w:footnote>
  <w:footnote w:id="14">
    <w:p w:rsidR="00725862" w:rsidRDefault="00725862">
      <w:pPr>
        <w:pStyle w:val="FootnoteText"/>
      </w:pPr>
      <w:r>
        <w:rPr>
          <w:rStyle w:val="FootnoteReference"/>
        </w:rPr>
        <w:footnoteRef/>
      </w:r>
      <w:r>
        <w:t xml:space="preserve"> </w:t>
      </w:r>
      <w:smartTag w:uri="urn:schemas-microsoft-com:office:smarttags" w:element="place">
        <w:smartTag w:uri="urn:schemas-microsoft-com:office:smarttags" w:element="State">
          <w:r>
            <w:rPr>
              <w:i/>
            </w:rPr>
            <w:t>Id.</w:t>
          </w:r>
        </w:smartTag>
      </w:smartTag>
      <w:r>
        <w:t xml:space="preserve"> (“[I]t is conceivable that spouses may decide to divorce solely to bypass the restrictions of the Doctrine.”)</w:t>
      </w:r>
    </w:p>
  </w:footnote>
  <w:footnote w:id="15">
    <w:p w:rsidR="00725862" w:rsidRDefault="00725862" w:rsidP="002E3093">
      <w:pPr>
        <w:spacing w:after="0" w:line="240" w:lineRule="auto"/>
        <w:jc w:val="both"/>
      </w:pPr>
      <w:r w:rsidRPr="002E3093">
        <w:rPr>
          <w:rStyle w:val="FootnoteReference"/>
          <w:sz w:val="20"/>
          <w:szCs w:val="20"/>
        </w:rPr>
        <w:footnoteRef/>
      </w:r>
      <w:r w:rsidRPr="002E3093">
        <w:rPr>
          <w:sz w:val="20"/>
          <w:szCs w:val="20"/>
        </w:rPr>
        <w:t xml:space="preserve"> </w:t>
      </w:r>
      <w:smartTag w:uri="urn:schemas-microsoft-com:office:smarttags" w:element="place">
        <w:smartTag w:uri="urn:schemas-microsoft-com:office:smarttags" w:element="State">
          <w:r w:rsidRPr="002E3093">
            <w:rPr>
              <w:i/>
              <w:sz w:val="20"/>
              <w:szCs w:val="20"/>
            </w:rPr>
            <w:t>Id</w:t>
          </w:r>
          <w:r w:rsidRPr="002E3093">
            <w:rPr>
              <w:sz w:val="20"/>
              <w:szCs w:val="20"/>
            </w:rPr>
            <w:t>.</w:t>
          </w:r>
        </w:smartTag>
      </w:smartTag>
      <w:r w:rsidRPr="002E3093">
        <w:rPr>
          <w:sz w:val="20"/>
          <w:szCs w:val="20"/>
        </w:rPr>
        <w:t xml:space="preserve"> at 1099.</w:t>
      </w:r>
    </w:p>
  </w:footnote>
  <w:footnote w:id="16">
    <w:p w:rsidR="00725862" w:rsidRDefault="00725862">
      <w:pPr>
        <w:pStyle w:val="FootnoteText"/>
      </w:pPr>
      <w:r>
        <w:rPr>
          <w:rStyle w:val="FootnoteReference"/>
        </w:rPr>
        <w:footnoteRef/>
      </w:r>
      <w:r>
        <w:t xml:space="preserve"> </w:t>
      </w:r>
      <w:smartTag w:uri="urn:schemas-microsoft-com:office:smarttags" w:element="place">
        <w:smartTag w:uri="urn:schemas-microsoft-com:office:smarttags" w:element="State">
          <w:r w:rsidRPr="002E3093">
            <w:rPr>
              <w:i/>
            </w:rPr>
            <w:t>Id</w:t>
          </w:r>
          <w:r w:rsidRPr="002E3093">
            <w:t>.</w:t>
          </w:r>
        </w:smartTag>
      </w:smartTag>
      <w:r w:rsidRPr="002E3093">
        <w:t xml:space="preserve"> at 1101.</w:t>
      </w:r>
    </w:p>
  </w:footnote>
  <w:footnote w:id="17">
    <w:p w:rsidR="00725862" w:rsidRDefault="00725862">
      <w:pPr>
        <w:pStyle w:val="FootnoteText"/>
      </w:pPr>
      <w:r>
        <w:rPr>
          <w:rStyle w:val="FootnoteReference"/>
        </w:rPr>
        <w:footnoteRef/>
      </w:r>
      <w:r>
        <w:t xml:space="preserve"> </w:t>
      </w:r>
      <w:smartTag w:uri="urn:schemas-microsoft-com:office:smarttags" w:element="place">
        <w:smartTag w:uri="urn:schemas-microsoft-com:office:smarttags" w:element="State">
          <w:r w:rsidRPr="002E3093">
            <w:rPr>
              <w:i/>
            </w:rPr>
            <w:t>Id</w:t>
          </w:r>
          <w:r w:rsidRPr="002E3093">
            <w:t>.</w:t>
          </w:r>
        </w:smartTag>
      </w:smartTag>
      <w:r w:rsidRPr="002E3093">
        <w:t xml:space="preserve"> at 1100.</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77B1A"/>
    <w:multiLevelType w:val="hybridMultilevel"/>
    <w:tmpl w:val="45D43EE6"/>
    <w:lvl w:ilvl="0" w:tplc="7F463F8C">
      <w:start w:val="1"/>
      <w:numFmt w:val="lowerLetter"/>
      <w:lvlText w:val="(%1)"/>
      <w:lvlJc w:val="left"/>
      <w:pPr>
        <w:ind w:left="895" w:hanging="615"/>
      </w:pPr>
      <w:rPr>
        <w:rFonts w:cs="Times New Roman" w:hint="default"/>
      </w:rPr>
    </w:lvl>
    <w:lvl w:ilvl="1" w:tplc="04090019">
      <w:start w:val="1"/>
      <w:numFmt w:val="lowerLetter"/>
      <w:lvlText w:val="%2."/>
      <w:lvlJc w:val="left"/>
      <w:pPr>
        <w:ind w:left="1360" w:hanging="360"/>
      </w:pPr>
      <w:rPr>
        <w:rFonts w:cs="Times New Roman"/>
      </w:rPr>
    </w:lvl>
    <w:lvl w:ilvl="2" w:tplc="0409001B">
      <w:start w:val="1"/>
      <w:numFmt w:val="lowerRoman"/>
      <w:lvlText w:val="%3."/>
      <w:lvlJc w:val="right"/>
      <w:pPr>
        <w:ind w:left="2080" w:hanging="180"/>
      </w:pPr>
      <w:rPr>
        <w:rFonts w:cs="Times New Roman"/>
      </w:rPr>
    </w:lvl>
    <w:lvl w:ilvl="3" w:tplc="0409000F">
      <w:start w:val="1"/>
      <w:numFmt w:val="decimal"/>
      <w:lvlText w:val="%4."/>
      <w:lvlJc w:val="left"/>
      <w:pPr>
        <w:ind w:left="2800" w:hanging="360"/>
      </w:pPr>
      <w:rPr>
        <w:rFonts w:cs="Times New Roman"/>
      </w:rPr>
    </w:lvl>
    <w:lvl w:ilvl="4" w:tplc="04090019">
      <w:start w:val="1"/>
      <w:numFmt w:val="lowerLetter"/>
      <w:lvlText w:val="%5."/>
      <w:lvlJc w:val="left"/>
      <w:pPr>
        <w:ind w:left="3520" w:hanging="360"/>
      </w:pPr>
      <w:rPr>
        <w:rFonts w:cs="Times New Roman"/>
      </w:rPr>
    </w:lvl>
    <w:lvl w:ilvl="5" w:tplc="0409001B">
      <w:start w:val="1"/>
      <w:numFmt w:val="lowerRoman"/>
      <w:lvlText w:val="%6."/>
      <w:lvlJc w:val="right"/>
      <w:pPr>
        <w:ind w:left="4240" w:hanging="180"/>
      </w:pPr>
      <w:rPr>
        <w:rFonts w:cs="Times New Roman"/>
      </w:rPr>
    </w:lvl>
    <w:lvl w:ilvl="6" w:tplc="0409000F">
      <w:start w:val="1"/>
      <w:numFmt w:val="decimal"/>
      <w:lvlText w:val="%7."/>
      <w:lvlJc w:val="left"/>
      <w:pPr>
        <w:ind w:left="4960" w:hanging="360"/>
      </w:pPr>
      <w:rPr>
        <w:rFonts w:cs="Times New Roman"/>
      </w:rPr>
    </w:lvl>
    <w:lvl w:ilvl="7" w:tplc="04090019">
      <w:start w:val="1"/>
      <w:numFmt w:val="lowerLetter"/>
      <w:lvlText w:val="%8."/>
      <w:lvlJc w:val="left"/>
      <w:pPr>
        <w:ind w:left="5680" w:hanging="360"/>
      </w:pPr>
      <w:rPr>
        <w:rFonts w:cs="Times New Roman"/>
      </w:rPr>
    </w:lvl>
    <w:lvl w:ilvl="8" w:tplc="0409001B">
      <w:start w:val="1"/>
      <w:numFmt w:val="lowerRoman"/>
      <w:lvlText w:val="%9."/>
      <w:lvlJc w:val="right"/>
      <w:pPr>
        <w:ind w:left="6400" w:hanging="180"/>
      </w:pPr>
      <w:rPr>
        <w:rFonts w:cs="Times New Roman"/>
      </w:rPr>
    </w:lvl>
  </w:abstractNum>
  <w:abstractNum w:abstractNumId="1">
    <w:nsid w:val="27122214"/>
    <w:multiLevelType w:val="hybridMultilevel"/>
    <w:tmpl w:val="21844F4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30B60291"/>
    <w:multiLevelType w:val="hybridMultilevel"/>
    <w:tmpl w:val="0A5E15D4"/>
    <w:lvl w:ilvl="0" w:tplc="74A4201A">
      <w:start w:val="1"/>
      <w:numFmt w:val="lowerLetter"/>
      <w:lvlText w:val="(%1)"/>
      <w:lvlJc w:val="left"/>
      <w:pPr>
        <w:ind w:left="940" w:hanging="660"/>
      </w:pPr>
      <w:rPr>
        <w:rFonts w:cs="Times New Roman" w:hint="default"/>
      </w:rPr>
    </w:lvl>
    <w:lvl w:ilvl="1" w:tplc="04090019">
      <w:start w:val="1"/>
      <w:numFmt w:val="lowerLetter"/>
      <w:lvlText w:val="%2."/>
      <w:lvlJc w:val="left"/>
      <w:pPr>
        <w:ind w:left="1360" w:hanging="360"/>
      </w:pPr>
      <w:rPr>
        <w:rFonts w:cs="Times New Roman"/>
      </w:rPr>
    </w:lvl>
    <w:lvl w:ilvl="2" w:tplc="0409001B">
      <w:start w:val="1"/>
      <w:numFmt w:val="lowerRoman"/>
      <w:lvlText w:val="%3."/>
      <w:lvlJc w:val="right"/>
      <w:pPr>
        <w:ind w:left="2080" w:hanging="180"/>
      </w:pPr>
      <w:rPr>
        <w:rFonts w:cs="Times New Roman"/>
      </w:rPr>
    </w:lvl>
    <w:lvl w:ilvl="3" w:tplc="0409000F">
      <w:start w:val="1"/>
      <w:numFmt w:val="decimal"/>
      <w:lvlText w:val="%4."/>
      <w:lvlJc w:val="left"/>
      <w:pPr>
        <w:ind w:left="2800" w:hanging="360"/>
      </w:pPr>
      <w:rPr>
        <w:rFonts w:cs="Times New Roman"/>
      </w:rPr>
    </w:lvl>
    <w:lvl w:ilvl="4" w:tplc="04090019">
      <w:start w:val="1"/>
      <w:numFmt w:val="lowerLetter"/>
      <w:lvlText w:val="%5."/>
      <w:lvlJc w:val="left"/>
      <w:pPr>
        <w:ind w:left="3520" w:hanging="360"/>
      </w:pPr>
      <w:rPr>
        <w:rFonts w:cs="Times New Roman"/>
      </w:rPr>
    </w:lvl>
    <w:lvl w:ilvl="5" w:tplc="0409001B">
      <w:start w:val="1"/>
      <w:numFmt w:val="lowerRoman"/>
      <w:lvlText w:val="%6."/>
      <w:lvlJc w:val="right"/>
      <w:pPr>
        <w:ind w:left="4240" w:hanging="180"/>
      </w:pPr>
      <w:rPr>
        <w:rFonts w:cs="Times New Roman"/>
      </w:rPr>
    </w:lvl>
    <w:lvl w:ilvl="6" w:tplc="0409000F">
      <w:start w:val="1"/>
      <w:numFmt w:val="decimal"/>
      <w:lvlText w:val="%7."/>
      <w:lvlJc w:val="left"/>
      <w:pPr>
        <w:ind w:left="4960" w:hanging="360"/>
      </w:pPr>
      <w:rPr>
        <w:rFonts w:cs="Times New Roman"/>
      </w:rPr>
    </w:lvl>
    <w:lvl w:ilvl="7" w:tplc="04090019">
      <w:start w:val="1"/>
      <w:numFmt w:val="lowerLetter"/>
      <w:lvlText w:val="%8."/>
      <w:lvlJc w:val="left"/>
      <w:pPr>
        <w:ind w:left="5680" w:hanging="360"/>
      </w:pPr>
      <w:rPr>
        <w:rFonts w:cs="Times New Roman"/>
      </w:rPr>
    </w:lvl>
    <w:lvl w:ilvl="8" w:tplc="0409001B">
      <w:start w:val="1"/>
      <w:numFmt w:val="lowerRoman"/>
      <w:lvlText w:val="%9."/>
      <w:lvlJc w:val="right"/>
      <w:pPr>
        <w:ind w:left="6400" w:hanging="180"/>
      </w:pPr>
      <w:rPr>
        <w:rFonts w:cs="Times New Roman"/>
      </w:rPr>
    </w:lvl>
  </w:abstractNum>
  <w:abstractNum w:abstractNumId="3">
    <w:nsid w:val="5A013352"/>
    <w:multiLevelType w:val="hybridMultilevel"/>
    <w:tmpl w:val="44DAE56C"/>
    <w:lvl w:ilvl="0" w:tplc="09CC1D22">
      <w:start w:val="1"/>
      <w:numFmt w:val="lowerLetter"/>
      <w:lvlText w:val="(%1)"/>
      <w:lvlJc w:val="left"/>
      <w:pPr>
        <w:ind w:left="1275" w:hanging="645"/>
      </w:pPr>
      <w:rPr>
        <w:rFonts w:cs="Times New Roman" w:hint="default"/>
        <w:b w:val="0"/>
        <w:bCs w:val="0"/>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4">
    <w:nsid w:val="63062306"/>
    <w:multiLevelType w:val="hybridMultilevel"/>
    <w:tmpl w:val="85E88C4E"/>
    <w:lvl w:ilvl="0" w:tplc="1060A766">
      <w:start w:val="1"/>
      <w:numFmt w:val="lowerLetter"/>
      <w:lvlText w:val="(%1)"/>
      <w:lvlJc w:val="left"/>
      <w:pPr>
        <w:ind w:left="630" w:hanging="360"/>
      </w:pPr>
      <w:rPr>
        <w:rFonts w:cs="Times New Roman" w:hint="default"/>
      </w:rPr>
    </w:lvl>
    <w:lvl w:ilvl="1" w:tplc="04090019">
      <w:start w:val="1"/>
      <w:numFmt w:val="lowerLetter"/>
      <w:lvlText w:val="%2."/>
      <w:lvlJc w:val="left"/>
      <w:pPr>
        <w:ind w:left="1350" w:hanging="360"/>
      </w:pPr>
      <w:rPr>
        <w:rFonts w:cs="Times New Roman"/>
      </w:rPr>
    </w:lvl>
    <w:lvl w:ilvl="2" w:tplc="0409001B">
      <w:start w:val="1"/>
      <w:numFmt w:val="lowerRoman"/>
      <w:lvlText w:val="%3."/>
      <w:lvlJc w:val="right"/>
      <w:pPr>
        <w:ind w:left="2070" w:hanging="180"/>
      </w:pPr>
      <w:rPr>
        <w:rFonts w:cs="Times New Roman"/>
      </w:rPr>
    </w:lvl>
    <w:lvl w:ilvl="3" w:tplc="0409000F">
      <w:start w:val="1"/>
      <w:numFmt w:val="decimal"/>
      <w:lvlText w:val="%4."/>
      <w:lvlJc w:val="left"/>
      <w:pPr>
        <w:ind w:left="2790" w:hanging="360"/>
      </w:pPr>
      <w:rPr>
        <w:rFonts w:cs="Times New Roman"/>
      </w:rPr>
    </w:lvl>
    <w:lvl w:ilvl="4" w:tplc="04090019">
      <w:start w:val="1"/>
      <w:numFmt w:val="lowerLetter"/>
      <w:lvlText w:val="%5."/>
      <w:lvlJc w:val="left"/>
      <w:pPr>
        <w:ind w:left="3510" w:hanging="360"/>
      </w:pPr>
      <w:rPr>
        <w:rFonts w:cs="Times New Roman"/>
      </w:rPr>
    </w:lvl>
    <w:lvl w:ilvl="5" w:tplc="0409001B">
      <w:start w:val="1"/>
      <w:numFmt w:val="lowerRoman"/>
      <w:lvlText w:val="%6."/>
      <w:lvlJc w:val="right"/>
      <w:pPr>
        <w:ind w:left="4230" w:hanging="180"/>
      </w:pPr>
      <w:rPr>
        <w:rFonts w:cs="Times New Roman"/>
      </w:rPr>
    </w:lvl>
    <w:lvl w:ilvl="6" w:tplc="0409000F">
      <w:start w:val="1"/>
      <w:numFmt w:val="decimal"/>
      <w:lvlText w:val="%7."/>
      <w:lvlJc w:val="left"/>
      <w:pPr>
        <w:ind w:left="4950" w:hanging="360"/>
      </w:pPr>
      <w:rPr>
        <w:rFonts w:cs="Times New Roman"/>
      </w:rPr>
    </w:lvl>
    <w:lvl w:ilvl="7" w:tplc="04090019">
      <w:start w:val="1"/>
      <w:numFmt w:val="lowerLetter"/>
      <w:lvlText w:val="%8."/>
      <w:lvlJc w:val="left"/>
      <w:pPr>
        <w:ind w:left="5670" w:hanging="360"/>
      </w:pPr>
      <w:rPr>
        <w:rFonts w:cs="Times New Roman"/>
      </w:rPr>
    </w:lvl>
    <w:lvl w:ilvl="8" w:tplc="0409001B">
      <w:start w:val="1"/>
      <w:numFmt w:val="lowerRoman"/>
      <w:lvlText w:val="%9."/>
      <w:lvlJc w:val="right"/>
      <w:pPr>
        <w:ind w:left="6390" w:hanging="180"/>
      </w:pPr>
      <w:rPr>
        <w:rFonts w:cs="Times New Roman"/>
      </w:rPr>
    </w:lvl>
  </w:abstractNum>
  <w:abstractNum w:abstractNumId="5">
    <w:nsid w:val="6EC709AC"/>
    <w:multiLevelType w:val="hybridMultilevel"/>
    <w:tmpl w:val="DCD43E6C"/>
    <w:lvl w:ilvl="0" w:tplc="DCDED51A">
      <w:start w:val="1"/>
      <w:numFmt w:val="lowerLetter"/>
      <w:lvlText w:val="(%1)"/>
      <w:lvlJc w:val="left"/>
      <w:pPr>
        <w:ind w:left="880" w:hanging="600"/>
      </w:pPr>
      <w:rPr>
        <w:rFonts w:cs="Times New Roman" w:hint="default"/>
      </w:rPr>
    </w:lvl>
    <w:lvl w:ilvl="1" w:tplc="04090019">
      <w:start w:val="1"/>
      <w:numFmt w:val="lowerLetter"/>
      <w:lvlText w:val="%2."/>
      <w:lvlJc w:val="left"/>
      <w:pPr>
        <w:ind w:left="1360" w:hanging="360"/>
      </w:pPr>
      <w:rPr>
        <w:rFonts w:cs="Times New Roman"/>
      </w:rPr>
    </w:lvl>
    <w:lvl w:ilvl="2" w:tplc="0409001B">
      <w:start w:val="1"/>
      <w:numFmt w:val="lowerRoman"/>
      <w:lvlText w:val="%3."/>
      <w:lvlJc w:val="right"/>
      <w:pPr>
        <w:ind w:left="2080" w:hanging="180"/>
      </w:pPr>
      <w:rPr>
        <w:rFonts w:cs="Times New Roman"/>
      </w:rPr>
    </w:lvl>
    <w:lvl w:ilvl="3" w:tplc="0409000F">
      <w:start w:val="1"/>
      <w:numFmt w:val="decimal"/>
      <w:lvlText w:val="%4."/>
      <w:lvlJc w:val="left"/>
      <w:pPr>
        <w:ind w:left="2800" w:hanging="360"/>
      </w:pPr>
      <w:rPr>
        <w:rFonts w:cs="Times New Roman"/>
      </w:rPr>
    </w:lvl>
    <w:lvl w:ilvl="4" w:tplc="04090019">
      <w:start w:val="1"/>
      <w:numFmt w:val="lowerLetter"/>
      <w:lvlText w:val="%5."/>
      <w:lvlJc w:val="left"/>
      <w:pPr>
        <w:ind w:left="3520" w:hanging="360"/>
      </w:pPr>
      <w:rPr>
        <w:rFonts w:cs="Times New Roman"/>
      </w:rPr>
    </w:lvl>
    <w:lvl w:ilvl="5" w:tplc="0409001B">
      <w:start w:val="1"/>
      <w:numFmt w:val="lowerRoman"/>
      <w:lvlText w:val="%6."/>
      <w:lvlJc w:val="right"/>
      <w:pPr>
        <w:ind w:left="4240" w:hanging="180"/>
      </w:pPr>
      <w:rPr>
        <w:rFonts w:cs="Times New Roman"/>
      </w:rPr>
    </w:lvl>
    <w:lvl w:ilvl="6" w:tplc="0409000F">
      <w:start w:val="1"/>
      <w:numFmt w:val="decimal"/>
      <w:lvlText w:val="%7."/>
      <w:lvlJc w:val="left"/>
      <w:pPr>
        <w:ind w:left="4960" w:hanging="360"/>
      </w:pPr>
      <w:rPr>
        <w:rFonts w:cs="Times New Roman"/>
      </w:rPr>
    </w:lvl>
    <w:lvl w:ilvl="7" w:tplc="04090019">
      <w:start w:val="1"/>
      <w:numFmt w:val="lowerLetter"/>
      <w:lvlText w:val="%8."/>
      <w:lvlJc w:val="left"/>
      <w:pPr>
        <w:ind w:left="5680" w:hanging="360"/>
      </w:pPr>
      <w:rPr>
        <w:rFonts w:cs="Times New Roman"/>
      </w:rPr>
    </w:lvl>
    <w:lvl w:ilvl="8" w:tplc="0409001B">
      <w:start w:val="1"/>
      <w:numFmt w:val="lowerRoman"/>
      <w:lvlText w:val="%9."/>
      <w:lvlJc w:val="right"/>
      <w:pPr>
        <w:ind w:left="6400" w:hanging="180"/>
      </w:pPr>
      <w:rPr>
        <w:rFonts w:cs="Times New Roman"/>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7131"/>
    <w:rsid w:val="00020DDA"/>
    <w:rsid w:val="00031A95"/>
    <w:rsid w:val="00040C86"/>
    <w:rsid w:val="00042209"/>
    <w:rsid w:val="000500F6"/>
    <w:rsid w:val="00062048"/>
    <w:rsid w:val="00090122"/>
    <w:rsid w:val="00095774"/>
    <w:rsid w:val="000A6521"/>
    <w:rsid w:val="000E7065"/>
    <w:rsid w:val="000F79D9"/>
    <w:rsid w:val="00123226"/>
    <w:rsid w:val="001562B4"/>
    <w:rsid w:val="00156B9D"/>
    <w:rsid w:val="00170D22"/>
    <w:rsid w:val="001837F1"/>
    <w:rsid w:val="001B19F1"/>
    <w:rsid w:val="001B56CC"/>
    <w:rsid w:val="001C5C5F"/>
    <w:rsid w:val="001E41A5"/>
    <w:rsid w:val="001F6276"/>
    <w:rsid w:val="002050C7"/>
    <w:rsid w:val="00230E23"/>
    <w:rsid w:val="002400ED"/>
    <w:rsid w:val="00244355"/>
    <w:rsid w:val="0025203C"/>
    <w:rsid w:val="00261413"/>
    <w:rsid w:val="0028061B"/>
    <w:rsid w:val="00280946"/>
    <w:rsid w:val="00292BF4"/>
    <w:rsid w:val="0029780A"/>
    <w:rsid w:val="002C12AB"/>
    <w:rsid w:val="002D2B88"/>
    <w:rsid w:val="002E3093"/>
    <w:rsid w:val="003454FB"/>
    <w:rsid w:val="003B3142"/>
    <w:rsid w:val="003C0E12"/>
    <w:rsid w:val="003D11F8"/>
    <w:rsid w:val="003D338A"/>
    <w:rsid w:val="003E009D"/>
    <w:rsid w:val="003E4307"/>
    <w:rsid w:val="004037AD"/>
    <w:rsid w:val="00406AB7"/>
    <w:rsid w:val="00420E30"/>
    <w:rsid w:val="004430D7"/>
    <w:rsid w:val="004649FB"/>
    <w:rsid w:val="005345A4"/>
    <w:rsid w:val="00536C4C"/>
    <w:rsid w:val="00547C79"/>
    <w:rsid w:val="0056778C"/>
    <w:rsid w:val="005B6033"/>
    <w:rsid w:val="005E2ED5"/>
    <w:rsid w:val="00605287"/>
    <w:rsid w:val="00614345"/>
    <w:rsid w:val="00627131"/>
    <w:rsid w:val="00667E7E"/>
    <w:rsid w:val="00683EE2"/>
    <w:rsid w:val="00690183"/>
    <w:rsid w:val="006937FC"/>
    <w:rsid w:val="006C38B4"/>
    <w:rsid w:val="006F5E0E"/>
    <w:rsid w:val="007017AD"/>
    <w:rsid w:val="00725862"/>
    <w:rsid w:val="00741CAB"/>
    <w:rsid w:val="00760B5B"/>
    <w:rsid w:val="007A1B00"/>
    <w:rsid w:val="007A23E1"/>
    <w:rsid w:val="007B1938"/>
    <w:rsid w:val="007F07BD"/>
    <w:rsid w:val="007F3DF0"/>
    <w:rsid w:val="00810B16"/>
    <w:rsid w:val="008237F6"/>
    <w:rsid w:val="00824295"/>
    <w:rsid w:val="00846F12"/>
    <w:rsid w:val="00871FF8"/>
    <w:rsid w:val="008866FC"/>
    <w:rsid w:val="008A0CF6"/>
    <w:rsid w:val="008A1E3B"/>
    <w:rsid w:val="008B2489"/>
    <w:rsid w:val="008E03EB"/>
    <w:rsid w:val="008F189F"/>
    <w:rsid w:val="0092120E"/>
    <w:rsid w:val="009C3FFD"/>
    <w:rsid w:val="009D0EBC"/>
    <w:rsid w:val="009F5652"/>
    <w:rsid w:val="00A00E0C"/>
    <w:rsid w:val="00A16512"/>
    <w:rsid w:val="00A17840"/>
    <w:rsid w:val="00A4407E"/>
    <w:rsid w:val="00A85EFB"/>
    <w:rsid w:val="00A94256"/>
    <w:rsid w:val="00A94A56"/>
    <w:rsid w:val="00AA7D70"/>
    <w:rsid w:val="00AB12EE"/>
    <w:rsid w:val="00AB6880"/>
    <w:rsid w:val="00AD044E"/>
    <w:rsid w:val="00AE0DD6"/>
    <w:rsid w:val="00AE7381"/>
    <w:rsid w:val="00B406A4"/>
    <w:rsid w:val="00B47288"/>
    <w:rsid w:val="00B47C57"/>
    <w:rsid w:val="00B5391F"/>
    <w:rsid w:val="00B60535"/>
    <w:rsid w:val="00B664C4"/>
    <w:rsid w:val="00B7250B"/>
    <w:rsid w:val="00B82A6D"/>
    <w:rsid w:val="00BA06B0"/>
    <w:rsid w:val="00BC210A"/>
    <w:rsid w:val="00C03163"/>
    <w:rsid w:val="00C05CE7"/>
    <w:rsid w:val="00C201EA"/>
    <w:rsid w:val="00C221B0"/>
    <w:rsid w:val="00C246FF"/>
    <w:rsid w:val="00C56E06"/>
    <w:rsid w:val="00C6063F"/>
    <w:rsid w:val="00C83F35"/>
    <w:rsid w:val="00CA48C8"/>
    <w:rsid w:val="00CA4BA2"/>
    <w:rsid w:val="00CB0B90"/>
    <w:rsid w:val="00CB28E3"/>
    <w:rsid w:val="00CC3001"/>
    <w:rsid w:val="00CF252E"/>
    <w:rsid w:val="00D131F5"/>
    <w:rsid w:val="00D341AE"/>
    <w:rsid w:val="00D52646"/>
    <w:rsid w:val="00DA53C6"/>
    <w:rsid w:val="00DB38EC"/>
    <w:rsid w:val="00DC5985"/>
    <w:rsid w:val="00E209D6"/>
    <w:rsid w:val="00E63D64"/>
    <w:rsid w:val="00E664CA"/>
    <w:rsid w:val="00E7264E"/>
    <w:rsid w:val="00E75470"/>
    <w:rsid w:val="00ED49B0"/>
    <w:rsid w:val="00ED4B4C"/>
    <w:rsid w:val="00EF4B93"/>
    <w:rsid w:val="00F0789F"/>
    <w:rsid w:val="00F26FB0"/>
    <w:rsid w:val="00F43557"/>
    <w:rsid w:val="00F4358C"/>
    <w:rsid w:val="00FD04A0"/>
    <w:rsid w:val="00FE77DB"/>
    <w:rsid w:val="00FF600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09D"/>
    <w:pPr>
      <w:spacing w:after="200" w:line="276" w:lineRule="auto"/>
    </w:pPr>
    <w:rPr>
      <w:rFonts w:ascii="Times New Roman" w:hAnsi="Times New Roman"/>
      <w:sz w:val="24"/>
      <w:szCs w:val="24"/>
    </w:rPr>
  </w:style>
  <w:style w:type="paragraph" w:styleId="Heading1">
    <w:name w:val="heading 1"/>
    <w:basedOn w:val="Normal"/>
    <w:next w:val="Normal"/>
    <w:link w:val="Heading1Char"/>
    <w:uiPriority w:val="99"/>
    <w:qFormat/>
    <w:rsid w:val="003E009D"/>
    <w:pPr>
      <w:keepNext/>
      <w:keepLines/>
      <w:spacing w:before="480" w:after="0"/>
      <w:outlineLvl w:val="0"/>
    </w:pPr>
    <w:rPr>
      <w:rFonts w:eastAsia="Times New Roman"/>
      <w:b/>
      <w:bCs/>
    </w:rPr>
  </w:style>
  <w:style w:type="paragraph" w:styleId="Heading2">
    <w:name w:val="heading 2"/>
    <w:basedOn w:val="Normal"/>
    <w:next w:val="Normal"/>
    <w:link w:val="Heading2Char"/>
    <w:uiPriority w:val="99"/>
    <w:qFormat/>
    <w:rsid w:val="003E009D"/>
    <w:pPr>
      <w:keepNext/>
      <w:keepLines/>
      <w:spacing w:before="200" w:after="0"/>
      <w:outlineLvl w:val="1"/>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E009D"/>
    <w:rPr>
      <w:rFonts w:ascii="Times New Roman" w:hAnsi="Times New Roman" w:cs="Times New Roman"/>
      <w:b/>
      <w:bCs/>
      <w:sz w:val="28"/>
      <w:szCs w:val="28"/>
    </w:rPr>
  </w:style>
  <w:style w:type="character" w:customStyle="1" w:styleId="Heading2Char">
    <w:name w:val="Heading 2 Char"/>
    <w:basedOn w:val="DefaultParagraphFont"/>
    <w:link w:val="Heading2"/>
    <w:uiPriority w:val="99"/>
    <w:semiHidden/>
    <w:locked/>
    <w:rsid w:val="003E009D"/>
    <w:rPr>
      <w:rFonts w:ascii="Times New Roman" w:hAnsi="Times New Roman" w:cs="Times New Roman"/>
      <w:b/>
      <w:bCs/>
      <w:sz w:val="26"/>
      <w:szCs w:val="26"/>
    </w:rPr>
  </w:style>
  <w:style w:type="paragraph" w:styleId="NoSpacing">
    <w:name w:val="No Spacing"/>
    <w:uiPriority w:val="99"/>
    <w:qFormat/>
    <w:rsid w:val="003E009D"/>
    <w:rPr>
      <w:rFonts w:ascii="Times New Roman" w:hAnsi="Times New Roman"/>
      <w:sz w:val="24"/>
      <w:szCs w:val="24"/>
    </w:rPr>
  </w:style>
  <w:style w:type="paragraph" w:customStyle="1" w:styleId="section-para">
    <w:name w:val="section-para"/>
    <w:basedOn w:val="Normal"/>
    <w:uiPriority w:val="99"/>
    <w:rsid w:val="00627131"/>
    <w:pPr>
      <w:spacing w:before="100" w:beforeAutospacing="1" w:after="100" w:afterAutospacing="1" w:line="240" w:lineRule="auto"/>
    </w:pPr>
    <w:rPr>
      <w:rFonts w:eastAsia="Times New Roman"/>
    </w:rPr>
  </w:style>
  <w:style w:type="paragraph" w:customStyle="1" w:styleId="section-label">
    <w:name w:val="section-label"/>
    <w:basedOn w:val="Normal"/>
    <w:uiPriority w:val="99"/>
    <w:rsid w:val="00627131"/>
    <w:pPr>
      <w:spacing w:before="100" w:beforeAutospacing="1" w:after="100" w:afterAutospacing="1" w:line="240" w:lineRule="auto"/>
    </w:pPr>
    <w:rPr>
      <w:rFonts w:eastAsia="Times New Roman"/>
    </w:rPr>
  </w:style>
  <w:style w:type="paragraph" w:styleId="FootnoteText">
    <w:name w:val="footnote text"/>
    <w:basedOn w:val="Normal"/>
    <w:link w:val="FootnoteTextChar"/>
    <w:uiPriority w:val="99"/>
    <w:semiHidden/>
    <w:rsid w:val="008A0CF6"/>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8A0CF6"/>
    <w:rPr>
      <w:rFonts w:ascii="Times New Roman" w:hAnsi="Times New Roman" w:cs="Times New Roman"/>
      <w:sz w:val="20"/>
      <w:szCs w:val="20"/>
    </w:rPr>
  </w:style>
  <w:style w:type="character" w:styleId="FootnoteReference">
    <w:name w:val="footnote reference"/>
    <w:basedOn w:val="DefaultParagraphFont"/>
    <w:uiPriority w:val="99"/>
    <w:semiHidden/>
    <w:rsid w:val="008A0CF6"/>
    <w:rPr>
      <w:rFonts w:cs="Times New Roman"/>
      <w:vertAlign w:val="superscript"/>
    </w:rPr>
  </w:style>
  <w:style w:type="paragraph" w:styleId="EndnoteText">
    <w:name w:val="endnote text"/>
    <w:basedOn w:val="Normal"/>
    <w:link w:val="EndnoteTextChar"/>
    <w:uiPriority w:val="99"/>
    <w:semiHidden/>
    <w:rsid w:val="003D338A"/>
    <w:pPr>
      <w:spacing w:after="0" w:line="240" w:lineRule="auto"/>
    </w:pPr>
    <w:rPr>
      <w:sz w:val="20"/>
      <w:szCs w:val="20"/>
    </w:rPr>
  </w:style>
  <w:style w:type="character" w:customStyle="1" w:styleId="EndnoteTextChar">
    <w:name w:val="Endnote Text Char"/>
    <w:basedOn w:val="DefaultParagraphFont"/>
    <w:link w:val="EndnoteText"/>
    <w:uiPriority w:val="99"/>
    <w:locked/>
    <w:rsid w:val="003D338A"/>
    <w:rPr>
      <w:rFonts w:ascii="Times New Roman" w:hAnsi="Times New Roman" w:cs="Times New Roman"/>
      <w:sz w:val="20"/>
      <w:szCs w:val="20"/>
    </w:rPr>
  </w:style>
  <w:style w:type="character" w:styleId="EndnoteReference">
    <w:name w:val="endnote reference"/>
    <w:basedOn w:val="DefaultParagraphFont"/>
    <w:uiPriority w:val="99"/>
    <w:semiHidden/>
    <w:rsid w:val="003D338A"/>
    <w:rPr>
      <w:rFonts w:cs="Times New Roman"/>
      <w:vertAlign w:val="superscript"/>
    </w:rPr>
  </w:style>
  <w:style w:type="paragraph" w:styleId="ListParagraph">
    <w:name w:val="List Paragraph"/>
    <w:basedOn w:val="Normal"/>
    <w:uiPriority w:val="99"/>
    <w:qFormat/>
    <w:rsid w:val="00AB12EE"/>
    <w:pPr>
      <w:ind w:left="720"/>
    </w:pPr>
  </w:style>
  <w:style w:type="paragraph" w:customStyle="1" w:styleId="section-history">
    <w:name w:val="section-history"/>
    <w:basedOn w:val="Normal"/>
    <w:uiPriority w:val="99"/>
    <w:rsid w:val="001837F1"/>
    <w:pPr>
      <w:spacing w:before="100" w:beforeAutospacing="1" w:after="100" w:afterAutospacing="1" w:line="240" w:lineRule="auto"/>
    </w:pPr>
    <w:rPr>
      <w:rFonts w:eastAsia="Times New Roman"/>
    </w:rPr>
  </w:style>
  <w:style w:type="character" w:styleId="Hyperlink">
    <w:name w:val="Hyperlink"/>
    <w:basedOn w:val="DefaultParagraphFont"/>
    <w:uiPriority w:val="99"/>
    <w:semiHidden/>
    <w:rsid w:val="001837F1"/>
    <w:rPr>
      <w:rFonts w:cs="Times New Roman"/>
      <w:color w:val="0000FF"/>
      <w:u w:val="single"/>
    </w:rPr>
  </w:style>
  <w:style w:type="character" w:styleId="Emphasis">
    <w:name w:val="Emphasis"/>
    <w:basedOn w:val="DefaultParagraphFont"/>
    <w:uiPriority w:val="99"/>
    <w:qFormat/>
    <w:rsid w:val="00E63D64"/>
    <w:rPr>
      <w:rFonts w:cs="Times New Roman"/>
      <w:i/>
      <w:iCs/>
    </w:rPr>
  </w:style>
  <w:style w:type="paragraph" w:styleId="Header">
    <w:name w:val="header"/>
    <w:basedOn w:val="Normal"/>
    <w:link w:val="HeaderChar"/>
    <w:uiPriority w:val="99"/>
    <w:semiHidden/>
    <w:rsid w:val="000A65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0A6521"/>
    <w:rPr>
      <w:rFonts w:ascii="Times New Roman" w:hAnsi="Times New Roman" w:cs="Times New Roman"/>
      <w:sz w:val="24"/>
      <w:szCs w:val="24"/>
    </w:rPr>
  </w:style>
  <w:style w:type="paragraph" w:styleId="Footer">
    <w:name w:val="footer"/>
    <w:basedOn w:val="Normal"/>
    <w:link w:val="FooterChar"/>
    <w:uiPriority w:val="99"/>
    <w:rsid w:val="000A652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A6521"/>
    <w:rPr>
      <w:rFonts w:ascii="Times New Roman" w:hAnsi="Times New Roman" w:cs="Times New Roman"/>
      <w:sz w:val="24"/>
      <w:szCs w:val="24"/>
    </w:rPr>
  </w:style>
  <w:style w:type="character" w:customStyle="1" w:styleId="groupheading5">
    <w:name w:val="groupheading5"/>
    <w:basedOn w:val="DefaultParagraphFont"/>
    <w:uiPriority w:val="99"/>
    <w:rsid w:val="00B5391F"/>
    <w:rPr>
      <w:rFonts w:ascii="Verdana" w:hAnsi="Verdana" w:cs="Verdana"/>
      <w:b/>
      <w:bCs/>
      <w:sz w:val="19"/>
      <w:szCs w:val="19"/>
    </w:rPr>
  </w:style>
  <w:style w:type="character" w:customStyle="1" w:styleId="informationalsmall3">
    <w:name w:val="informationalsmall3"/>
    <w:basedOn w:val="DefaultParagraphFont"/>
    <w:uiPriority w:val="99"/>
    <w:rsid w:val="00B5391F"/>
    <w:rPr>
      <w:rFonts w:ascii="Verdana" w:hAnsi="Verdana" w:cs="Verdana"/>
      <w:sz w:val="14"/>
      <w:szCs w:val="14"/>
    </w:rPr>
  </w:style>
</w:styles>
</file>

<file path=word/webSettings.xml><?xml version="1.0" encoding="utf-8"?>
<w:webSettings xmlns:r="http://schemas.openxmlformats.org/officeDocument/2006/relationships" xmlns:w="http://schemas.openxmlformats.org/wordprocessingml/2006/main">
  <w:divs>
    <w:div w:id="396440794">
      <w:marLeft w:val="0"/>
      <w:marRight w:val="0"/>
      <w:marTop w:val="0"/>
      <w:marBottom w:val="0"/>
      <w:divBdr>
        <w:top w:val="none" w:sz="0" w:space="0" w:color="auto"/>
        <w:left w:val="none" w:sz="0" w:space="0" w:color="auto"/>
        <w:bottom w:val="none" w:sz="0" w:space="0" w:color="auto"/>
        <w:right w:val="none" w:sz="0" w:space="0" w:color="auto"/>
      </w:divBdr>
    </w:div>
    <w:div w:id="396440795">
      <w:marLeft w:val="0"/>
      <w:marRight w:val="0"/>
      <w:marTop w:val="0"/>
      <w:marBottom w:val="0"/>
      <w:divBdr>
        <w:top w:val="none" w:sz="0" w:space="0" w:color="auto"/>
        <w:left w:val="none" w:sz="0" w:space="0" w:color="auto"/>
        <w:bottom w:val="none" w:sz="0" w:space="0" w:color="auto"/>
        <w:right w:val="none" w:sz="0" w:space="0" w:color="auto"/>
      </w:divBdr>
    </w:div>
    <w:div w:id="396440797">
      <w:marLeft w:val="0"/>
      <w:marRight w:val="0"/>
      <w:marTop w:val="0"/>
      <w:marBottom w:val="0"/>
      <w:divBdr>
        <w:top w:val="none" w:sz="0" w:space="0" w:color="auto"/>
        <w:left w:val="none" w:sz="0" w:space="0" w:color="auto"/>
        <w:bottom w:val="none" w:sz="0" w:space="0" w:color="auto"/>
        <w:right w:val="none" w:sz="0" w:space="0" w:color="auto"/>
      </w:divBdr>
    </w:div>
    <w:div w:id="396440798">
      <w:marLeft w:val="0"/>
      <w:marRight w:val="0"/>
      <w:marTop w:val="0"/>
      <w:marBottom w:val="0"/>
      <w:divBdr>
        <w:top w:val="none" w:sz="0" w:space="0" w:color="auto"/>
        <w:left w:val="none" w:sz="0" w:space="0" w:color="auto"/>
        <w:bottom w:val="none" w:sz="0" w:space="0" w:color="auto"/>
        <w:right w:val="none" w:sz="0" w:space="0" w:color="auto"/>
      </w:divBdr>
    </w:div>
    <w:div w:id="396440799">
      <w:marLeft w:val="0"/>
      <w:marRight w:val="0"/>
      <w:marTop w:val="0"/>
      <w:marBottom w:val="0"/>
      <w:divBdr>
        <w:top w:val="none" w:sz="0" w:space="0" w:color="auto"/>
        <w:left w:val="none" w:sz="0" w:space="0" w:color="auto"/>
        <w:bottom w:val="none" w:sz="0" w:space="0" w:color="auto"/>
        <w:right w:val="none" w:sz="0" w:space="0" w:color="auto"/>
      </w:divBdr>
    </w:div>
    <w:div w:id="396440800">
      <w:marLeft w:val="0"/>
      <w:marRight w:val="0"/>
      <w:marTop w:val="0"/>
      <w:marBottom w:val="0"/>
      <w:divBdr>
        <w:top w:val="none" w:sz="0" w:space="0" w:color="auto"/>
        <w:left w:val="none" w:sz="0" w:space="0" w:color="auto"/>
        <w:bottom w:val="none" w:sz="0" w:space="0" w:color="auto"/>
        <w:right w:val="none" w:sz="0" w:space="0" w:color="auto"/>
      </w:divBdr>
    </w:div>
    <w:div w:id="396440801">
      <w:marLeft w:val="0"/>
      <w:marRight w:val="0"/>
      <w:marTop w:val="0"/>
      <w:marBottom w:val="0"/>
      <w:divBdr>
        <w:top w:val="none" w:sz="0" w:space="0" w:color="auto"/>
        <w:left w:val="none" w:sz="0" w:space="0" w:color="auto"/>
        <w:bottom w:val="none" w:sz="0" w:space="0" w:color="auto"/>
        <w:right w:val="none" w:sz="0" w:space="0" w:color="auto"/>
      </w:divBdr>
    </w:div>
    <w:div w:id="396440805">
      <w:marLeft w:val="0"/>
      <w:marRight w:val="0"/>
      <w:marTop w:val="0"/>
      <w:marBottom w:val="0"/>
      <w:divBdr>
        <w:top w:val="none" w:sz="0" w:space="0" w:color="auto"/>
        <w:left w:val="none" w:sz="0" w:space="0" w:color="auto"/>
        <w:bottom w:val="none" w:sz="0" w:space="0" w:color="auto"/>
        <w:right w:val="none" w:sz="0" w:space="0" w:color="auto"/>
      </w:divBdr>
    </w:div>
    <w:div w:id="396440806">
      <w:marLeft w:val="0"/>
      <w:marRight w:val="0"/>
      <w:marTop w:val="0"/>
      <w:marBottom w:val="0"/>
      <w:divBdr>
        <w:top w:val="none" w:sz="0" w:space="0" w:color="auto"/>
        <w:left w:val="none" w:sz="0" w:space="0" w:color="auto"/>
        <w:bottom w:val="none" w:sz="0" w:space="0" w:color="auto"/>
        <w:right w:val="none" w:sz="0" w:space="0" w:color="auto"/>
      </w:divBdr>
    </w:div>
    <w:div w:id="396440807">
      <w:marLeft w:val="0"/>
      <w:marRight w:val="0"/>
      <w:marTop w:val="0"/>
      <w:marBottom w:val="0"/>
      <w:divBdr>
        <w:top w:val="none" w:sz="0" w:space="0" w:color="auto"/>
        <w:left w:val="none" w:sz="0" w:space="0" w:color="auto"/>
        <w:bottom w:val="none" w:sz="0" w:space="0" w:color="auto"/>
        <w:right w:val="none" w:sz="0" w:space="0" w:color="auto"/>
      </w:divBdr>
    </w:div>
    <w:div w:id="396440808">
      <w:marLeft w:val="0"/>
      <w:marRight w:val="0"/>
      <w:marTop w:val="0"/>
      <w:marBottom w:val="0"/>
      <w:divBdr>
        <w:top w:val="none" w:sz="0" w:space="0" w:color="auto"/>
        <w:left w:val="none" w:sz="0" w:space="0" w:color="auto"/>
        <w:bottom w:val="none" w:sz="0" w:space="0" w:color="auto"/>
        <w:right w:val="none" w:sz="0" w:space="0" w:color="auto"/>
      </w:divBdr>
    </w:div>
    <w:div w:id="396440809">
      <w:marLeft w:val="0"/>
      <w:marRight w:val="0"/>
      <w:marTop w:val="0"/>
      <w:marBottom w:val="0"/>
      <w:divBdr>
        <w:top w:val="none" w:sz="0" w:space="0" w:color="auto"/>
        <w:left w:val="none" w:sz="0" w:space="0" w:color="auto"/>
        <w:bottom w:val="none" w:sz="0" w:space="0" w:color="auto"/>
        <w:right w:val="none" w:sz="0" w:space="0" w:color="auto"/>
      </w:divBdr>
    </w:div>
    <w:div w:id="396440810">
      <w:marLeft w:val="0"/>
      <w:marRight w:val="0"/>
      <w:marTop w:val="0"/>
      <w:marBottom w:val="0"/>
      <w:divBdr>
        <w:top w:val="none" w:sz="0" w:space="0" w:color="auto"/>
        <w:left w:val="none" w:sz="0" w:space="0" w:color="auto"/>
        <w:bottom w:val="none" w:sz="0" w:space="0" w:color="auto"/>
        <w:right w:val="none" w:sz="0" w:space="0" w:color="auto"/>
      </w:divBdr>
    </w:div>
    <w:div w:id="396440811">
      <w:marLeft w:val="0"/>
      <w:marRight w:val="0"/>
      <w:marTop w:val="0"/>
      <w:marBottom w:val="0"/>
      <w:divBdr>
        <w:top w:val="none" w:sz="0" w:space="0" w:color="auto"/>
        <w:left w:val="none" w:sz="0" w:space="0" w:color="auto"/>
        <w:bottom w:val="none" w:sz="0" w:space="0" w:color="auto"/>
        <w:right w:val="none" w:sz="0" w:space="0" w:color="auto"/>
      </w:divBdr>
    </w:div>
    <w:div w:id="396440812">
      <w:marLeft w:val="0"/>
      <w:marRight w:val="0"/>
      <w:marTop w:val="0"/>
      <w:marBottom w:val="0"/>
      <w:divBdr>
        <w:top w:val="none" w:sz="0" w:space="0" w:color="auto"/>
        <w:left w:val="none" w:sz="0" w:space="0" w:color="auto"/>
        <w:bottom w:val="none" w:sz="0" w:space="0" w:color="auto"/>
        <w:right w:val="none" w:sz="0" w:space="0" w:color="auto"/>
      </w:divBdr>
    </w:div>
    <w:div w:id="396440813">
      <w:marLeft w:val="0"/>
      <w:marRight w:val="0"/>
      <w:marTop w:val="0"/>
      <w:marBottom w:val="0"/>
      <w:divBdr>
        <w:top w:val="none" w:sz="0" w:space="0" w:color="auto"/>
        <w:left w:val="none" w:sz="0" w:space="0" w:color="auto"/>
        <w:bottom w:val="none" w:sz="0" w:space="0" w:color="auto"/>
        <w:right w:val="none" w:sz="0" w:space="0" w:color="auto"/>
      </w:divBdr>
    </w:div>
    <w:div w:id="396440816">
      <w:marLeft w:val="0"/>
      <w:marRight w:val="0"/>
      <w:marTop w:val="0"/>
      <w:marBottom w:val="0"/>
      <w:divBdr>
        <w:top w:val="none" w:sz="0" w:space="0" w:color="auto"/>
        <w:left w:val="none" w:sz="0" w:space="0" w:color="auto"/>
        <w:bottom w:val="none" w:sz="0" w:space="0" w:color="auto"/>
        <w:right w:val="none" w:sz="0" w:space="0" w:color="auto"/>
      </w:divBdr>
    </w:div>
    <w:div w:id="396440817">
      <w:marLeft w:val="0"/>
      <w:marRight w:val="0"/>
      <w:marTop w:val="0"/>
      <w:marBottom w:val="0"/>
      <w:divBdr>
        <w:top w:val="none" w:sz="0" w:space="0" w:color="auto"/>
        <w:left w:val="none" w:sz="0" w:space="0" w:color="auto"/>
        <w:bottom w:val="none" w:sz="0" w:space="0" w:color="auto"/>
        <w:right w:val="none" w:sz="0" w:space="0" w:color="auto"/>
      </w:divBdr>
      <w:divsChild>
        <w:div w:id="396440796">
          <w:marLeft w:val="0"/>
          <w:marRight w:val="0"/>
          <w:marTop w:val="0"/>
          <w:marBottom w:val="0"/>
          <w:divBdr>
            <w:top w:val="none" w:sz="0" w:space="0" w:color="auto"/>
            <w:left w:val="none" w:sz="0" w:space="0" w:color="auto"/>
            <w:bottom w:val="none" w:sz="0" w:space="0" w:color="auto"/>
            <w:right w:val="none" w:sz="0" w:space="0" w:color="auto"/>
          </w:divBdr>
        </w:div>
        <w:div w:id="396440802">
          <w:marLeft w:val="0"/>
          <w:marRight w:val="0"/>
          <w:marTop w:val="0"/>
          <w:marBottom w:val="0"/>
          <w:divBdr>
            <w:top w:val="none" w:sz="0" w:space="0" w:color="auto"/>
            <w:left w:val="none" w:sz="0" w:space="0" w:color="auto"/>
            <w:bottom w:val="none" w:sz="0" w:space="0" w:color="auto"/>
            <w:right w:val="none" w:sz="0" w:space="0" w:color="auto"/>
          </w:divBdr>
        </w:div>
        <w:div w:id="396440803">
          <w:marLeft w:val="0"/>
          <w:marRight w:val="0"/>
          <w:marTop w:val="0"/>
          <w:marBottom w:val="0"/>
          <w:divBdr>
            <w:top w:val="none" w:sz="0" w:space="0" w:color="auto"/>
            <w:left w:val="none" w:sz="0" w:space="0" w:color="auto"/>
            <w:bottom w:val="none" w:sz="0" w:space="0" w:color="auto"/>
            <w:right w:val="none" w:sz="0" w:space="0" w:color="auto"/>
          </w:divBdr>
        </w:div>
        <w:div w:id="396440804">
          <w:marLeft w:val="0"/>
          <w:marRight w:val="0"/>
          <w:marTop w:val="0"/>
          <w:marBottom w:val="0"/>
          <w:divBdr>
            <w:top w:val="none" w:sz="0" w:space="0" w:color="auto"/>
            <w:left w:val="none" w:sz="0" w:space="0" w:color="auto"/>
            <w:bottom w:val="none" w:sz="0" w:space="0" w:color="auto"/>
            <w:right w:val="none" w:sz="0" w:space="0" w:color="auto"/>
          </w:divBdr>
        </w:div>
        <w:div w:id="396440814">
          <w:marLeft w:val="0"/>
          <w:marRight w:val="0"/>
          <w:marTop w:val="0"/>
          <w:marBottom w:val="0"/>
          <w:divBdr>
            <w:top w:val="none" w:sz="0" w:space="0" w:color="auto"/>
            <w:left w:val="none" w:sz="0" w:space="0" w:color="auto"/>
            <w:bottom w:val="none" w:sz="0" w:space="0" w:color="auto"/>
            <w:right w:val="none" w:sz="0" w:space="0" w:color="auto"/>
          </w:divBdr>
        </w:div>
        <w:div w:id="396440815">
          <w:marLeft w:val="0"/>
          <w:marRight w:val="0"/>
          <w:marTop w:val="0"/>
          <w:marBottom w:val="0"/>
          <w:divBdr>
            <w:top w:val="none" w:sz="0" w:space="0" w:color="auto"/>
            <w:left w:val="none" w:sz="0" w:space="0" w:color="auto"/>
            <w:bottom w:val="none" w:sz="0" w:space="0" w:color="auto"/>
            <w:right w:val="none" w:sz="0" w:space="0" w:color="auto"/>
          </w:divBdr>
        </w:div>
        <w:div w:id="396440822">
          <w:marLeft w:val="0"/>
          <w:marRight w:val="0"/>
          <w:marTop w:val="0"/>
          <w:marBottom w:val="0"/>
          <w:divBdr>
            <w:top w:val="none" w:sz="0" w:space="0" w:color="auto"/>
            <w:left w:val="none" w:sz="0" w:space="0" w:color="auto"/>
            <w:bottom w:val="none" w:sz="0" w:space="0" w:color="auto"/>
            <w:right w:val="none" w:sz="0" w:space="0" w:color="auto"/>
          </w:divBdr>
        </w:div>
      </w:divsChild>
    </w:div>
    <w:div w:id="396440818">
      <w:marLeft w:val="0"/>
      <w:marRight w:val="0"/>
      <w:marTop w:val="0"/>
      <w:marBottom w:val="0"/>
      <w:divBdr>
        <w:top w:val="none" w:sz="0" w:space="0" w:color="auto"/>
        <w:left w:val="none" w:sz="0" w:space="0" w:color="auto"/>
        <w:bottom w:val="none" w:sz="0" w:space="0" w:color="auto"/>
        <w:right w:val="none" w:sz="0" w:space="0" w:color="auto"/>
      </w:divBdr>
    </w:div>
    <w:div w:id="396440819">
      <w:marLeft w:val="0"/>
      <w:marRight w:val="0"/>
      <w:marTop w:val="0"/>
      <w:marBottom w:val="0"/>
      <w:divBdr>
        <w:top w:val="none" w:sz="0" w:space="0" w:color="auto"/>
        <w:left w:val="none" w:sz="0" w:space="0" w:color="auto"/>
        <w:bottom w:val="none" w:sz="0" w:space="0" w:color="auto"/>
        <w:right w:val="none" w:sz="0" w:space="0" w:color="auto"/>
      </w:divBdr>
    </w:div>
    <w:div w:id="396440820">
      <w:marLeft w:val="0"/>
      <w:marRight w:val="0"/>
      <w:marTop w:val="0"/>
      <w:marBottom w:val="0"/>
      <w:divBdr>
        <w:top w:val="none" w:sz="0" w:space="0" w:color="auto"/>
        <w:left w:val="none" w:sz="0" w:space="0" w:color="auto"/>
        <w:bottom w:val="none" w:sz="0" w:space="0" w:color="auto"/>
        <w:right w:val="none" w:sz="0" w:space="0" w:color="auto"/>
      </w:divBdr>
    </w:div>
    <w:div w:id="396440821">
      <w:marLeft w:val="0"/>
      <w:marRight w:val="0"/>
      <w:marTop w:val="0"/>
      <w:marBottom w:val="0"/>
      <w:divBdr>
        <w:top w:val="none" w:sz="0" w:space="0" w:color="auto"/>
        <w:left w:val="none" w:sz="0" w:space="0" w:color="auto"/>
        <w:bottom w:val="none" w:sz="0" w:space="0" w:color="auto"/>
        <w:right w:val="none" w:sz="0" w:space="0" w:color="auto"/>
      </w:divBdr>
    </w:div>
    <w:div w:id="3964408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courts.delaware.gov/legal%20memoranda/download.aspx?ID=14898" TargetMode="External"/><Relationship Id="rId1" Type="http://schemas.openxmlformats.org/officeDocument/2006/relationships/hyperlink" Target="http://courts.delaware.gov/legal%20memoranda/download.aspx?ID=148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948</Words>
  <Characters>5405</Characters>
  <Application>Microsoft Office Outlook</Application>
  <DocSecurity>0</DocSecurity>
  <Lines>0</Lines>
  <Paragraphs>0</Paragraphs>
  <ScaleCrop>false</ScaleCrop>
  <Company>Judicial Information Center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MEMORANDUM XX-XXX</dc:title>
  <dc:subject/>
  <dc:creator>John J. Polk</dc:creator>
  <cp:keywords/>
  <dc:description/>
  <cp:lastModifiedBy>Jamie Parkhurst</cp:lastModifiedBy>
  <cp:revision>2</cp:revision>
  <dcterms:created xsi:type="dcterms:W3CDTF">2009-10-27T19:58:00Z</dcterms:created>
  <dcterms:modified xsi:type="dcterms:W3CDTF">2009-10-27T19:58:00Z</dcterms:modified>
</cp:coreProperties>
</file>