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52" w:rsidRDefault="006F65FA" w:rsidP="000D3C52">
      <w:pPr>
        <w:pStyle w:val="Title"/>
      </w:pPr>
      <w:r w:rsidRPr="000D3C52">
        <w:t xml:space="preserve">GARNISHMENT OF PROPERTY </w:t>
      </w:r>
      <w:r w:rsidR="000D3C52">
        <w:t xml:space="preserve">- </w:t>
      </w:r>
      <w:r w:rsidRPr="000D3C52">
        <w:t xml:space="preserve">OTHER THAN WAGES </w:t>
      </w:r>
    </w:p>
    <w:p w:rsidR="0094686F" w:rsidRPr="000D3C52" w:rsidRDefault="006F65FA" w:rsidP="006F65FA">
      <w:pPr>
        <w:jc w:val="center"/>
        <w:rPr>
          <w:sz w:val="32"/>
          <w:szCs w:val="32"/>
        </w:rPr>
      </w:pPr>
      <w:r w:rsidRPr="000D3C52">
        <w:rPr>
          <w:b/>
          <w:sz w:val="32"/>
          <w:szCs w:val="32"/>
          <w:u w:val="single"/>
        </w:rPr>
        <w:t>INSTRUCTIONS</w:t>
      </w:r>
    </w:p>
    <w:p w:rsidR="006F65FA" w:rsidRDefault="006F65FA" w:rsidP="006F65FA">
      <w:pPr>
        <w:spacing w:after="0"/>
        <w:jc w:val="center"/>
      </w:pPr>
    </w:p>
    <w:p w:rsidR="006F65FA" w:rsidRDefault="006F65FA" w:rsidP="006F65FA">
      <w:pPr>
        <w:pStyle w:val="ListParagraph"/>
        <w:spacing w:after="0"/>
      </w:pPr>
    </w:p>
    <w:p w:rsidR="006F65FA" w:rsidRPr="00040586" w:rsidRDefault="006F65FA" w:rsidP="00040586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sz w:val="28"/>
          <w:szCs w:val="28"/>
        </w:rPr>
      </w:pPr>
      <w:r w:rsidRPr="00040586">
        <w:rPr>
          <w:sz w:val="28"/>
          <w:szCs w:val="28"/>
        </w:rPr>
        <w:t>Complete Civil Forms CF17 and CF17B</w:t>
      </w:r>
    </w:p>
    <w:p w:rsidR="00040586" w:rsidRPr="00040586" w:rsidRDefault="00040586" w:rsidP="00040586">
      <w:pPr>
        <w:pStyle w:val="ListParagraph"/>
        <w:spacing w:after="0" w:line="240" w:lineRule="auto"/>
        <w:ind w:left="1080"/>
        <w:jc w:val="both"/>
        <w:rPr>
          <w:sz w:val="28"/>
          <w:szCs w:val="28"/>
        </w:rPr>
      </w:pPr>
    </w:p>
    <w:p w:rsidR="006F65FA" w:rsidRPr="00636C4C" w:rsidRDefault="006F65FA" w:rsidP="00040586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rPr>
          <w:sz w:val="28"/>
          <w:szCs w:val="28"/>
        </w:rPr>
      </w:pPr>
      <w:r w:rsidRPr="00636C4C">
        <w:rPr>
          <w:sz w:val="28"/>
          <w:szCs w:val="28"/>
        </w:rPr>
        <w:t xml:space="preserve">These forms should only be used if you know of an individual </w:t>
      </w:r>
      <w:r w:rsidR="00CD263C">
        <w:rPr>
          <w:sz w:val="28"/>
          <w:szCs w:val="28"/>
        </w:rPr>
        <w:t xml:space="preserve">or entity </w:t>
      </w:r>
      <w:r w:rsidRPr="00636C4C">
        <w:rPr>
          <w:sz w:val="28"/>
          <w:szCs w:val="28"/>
        </w:rPr>
        <w:t xml:space="preserve">who </w:t>
      </w:r>
      <w:r w:rsidR="00CD263C">
        <w:rPr>
          <w:sz w:val="28"/>
          <w:szCs w:val="28"/>
        </w:rPr>
        <w:t>is holding</w:t>
      </w:r>
      <w:r w:rsidRPr="00636C4C">
        <w:rPr>
          <w:sz w:val="28"/>
          <w:szCs w:val="28"/>
        </w:rPr>
        <w:t xml:space="preserve"> </w:t>
      </w:r>
      <w:r w:rsidR="00CD263C">
        <w:rPr>
          <w:sz w:val="28"/>
          <w:szCs w:val="28"/>
        </w:rPr>
        <w:t>money</w:t>
      </w:r>
      <w:r w:rsidRPr="00636C4C">
        <w:rPr>
          <w:sz w:val="28"/>
          <w:szCs w:val="28"/>
        </w:rPr>
        <w:t xml:space="preserve"> other than wages </w:t>
      </w:r>
      <w:r w:rsidR="00CD263C">
        <w:rPr>
          <w:sz w:val="28"/>
          <w:szCs w:val="28"/>
        </w:rPr>
        <w:t xml:space="preserve">that belongs to the judgment debtor </w:t>
      </w:r>
      <w:r w:rsidR="00096B17" w:rsidRPr="00636C4C">
        <w:rPr>
          <w:sz w:val="28"/>
          <w:szCs w:val="28"/>
        </w:rPr>
        <w:t>that you wish to have garnished</w:t>
      </w:r>
      <w:r w:rsidRPr="00636C4C">
        <w:rPr>
          <w:sz w:val="28"/>
          <w:szCs w:val="28"/>
        </w:rPr>
        <w:t xml:space="preserve"> (example: rent </w:t>
      </w:r>
      <w:r w:rsidR="00244912" w:rsidRPr="00636C4C">
        <w:rPr>
          <w:sz w:val="28"/>
          <w:szCs w:val="28"/>
        </w:rPr>
        <w:t xml:space="preserve">money owed by </w:t>
      </w:r>
      <w:r w:rsidR="003B02DA" w:rsidRPr="00636C4C">
        <w:rPr>
          <w:sz w:val="28"/>
          <w:szCs w:val="28"/>
        </w:rPr>
        <w:t>the</w:t>
      </w:r>
      <w:r w:rsidR="00096B17" w:rsidRPr="00636C4C">
        <w:rPr>
          <w:sz w:val="28"/>
          <w:szCs w:val="28"/>
        </w:rPr>
        <w:t xml:space="preserve"> </w:t>
      </w:r>
      <w:r w:rsidR="002A5BE1" w:rsidRPr="00636C4C">
        <w:rPr>
          <w:sz w:val="28"/>
          <w:szCs w:val="28"/>
        </w:rPr>
        <w:t>Garnishee</w:t>
      </w:r>
      <w:r w:rsidR="00096B17" w:rsidRPr="00636C4C">
        <w:rPr>
          <w:sz w:val="28"/>
          <w:szCs w:val="28"/>
        </w:rPr>
        <w:t xml:space="preserve"> to the </w:t>
      </w:r>
      <w:r w:rsidR="002A5BE1" w:rsidRPr="00636C4C">
        <w:rPr>
          <w:sz w:val="28"/>
          <w:szCs w:val="28"/>
        </w:rPr>
        <w:t>Debtor</w:t>
      </w:r>
      <w:r w:rsidR="00096B17" w:rsidRPr="00636C4C">
        <w:rPr>
          <w:sz w:val="28"/>
          <w:szCs w:val="28"/>
        </w:rPr>
        <w:t xml:space="preserve"> or</w:t>
      </w:r>
      <w:r w:rsidR="00244912" w:rsidRPr="00636C4C">
        <w:rPr>
          <w:sz w:val="28"/>
          <w:szCs w:val="28"/>
        </w:rPr>
        <w:t xml:space="preserve"> money owed </w:t>
      </w:r>
      <w:r w:rsidR="002A5BE1" w:rsidRPr="00636C4C">
        <w:rPr>
          <w:sz w:val="28"/>
          <w:szCs w:val="28"/>
        </w:rPr>
        <w:t>by</w:t>
      </w:r>
      <w:r w:rsidR="00244912" w:rsidRPr="00636C4C">
        <w:rPr>
          <w:sz w:val="28"/>
          <w:szCs w:val="28"/>
        </w:rPr>
        <w:t xml:space="preserve"> the Garnishee for work </w:t>
      </w:r>
      <w:r w:rsidR="00096B17" w:rsidRPr="00636C4C">
        <w:rPr>
          <w:sz w:val="28"/>
          <w:szCs w:val="28"/>
        </w:rPr>
        <w:t>performed by the Judgment Debtor).</w:t>
      </w:r>
    </w:p>
    <w:p w:rsidR="00040586" w:rsidRPr="00636C4C" w:rsidRDefault="00040586" w:rsidP="00040586">
      <w:pPr>
        <w:pStyle w:val="ListParagraph"/>
        <w:spacing w:before="240" w:after="100" w:afterAutospacing="1" w:line="240" w:lineRule="auto"/>
        <w:ind w:left="1080"/>
        <w:jc w:val="both"/>
        <w:rPr>
          <w:sz w:val="28"/>
          <w:szCs w:val="28"/>
        </w:rPr>
      </w:pPr>
    </w:p>
    <w:p w:rsidR="003E20F5" w:rsidRPr="00636C4C" w:rsidRDefault="003E20F5" w:rsidP="00040586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rPr>
          <w:sz w:val="28"/>
          <w:szCs w:val="28"/>
        </w:rPr>
      </w:pPr>
      <w:r w:rsidRPr="00636C4C">
        <w:rPr>
          <w:sz w:val="28"/>
          <w:szCs w:val="28"/>
        </w:rPr>
        <w:t>Bank accounts cannot be garnished.</w:t>
      </w:r>
    </w:p>
    <w:p w:rsidR="00040586" w:rsidRPr="00636C4C" w:rsidRDefault="00040586" w:rsidP="00040586">
      <w:pPr>
        <w:pStyle w:val="ListParagraph"/>
        <w:spacing w:before="240" w:after="100" w:afterAutospacing="1" w:line="240" w:lineRule="auto"/>
        <w:ind w:left="1080"/>
        <w:jc w:val="both"/>
        <w:rPr>
          <w:sz w:val="28"/>
          <w:szCs w:val="28"/>
        </w:rPr>
      </w:pPr>
    </w:p>
    <w:p w:rsidR="00385C62" w:rsidRPr="00636C4C" w:rsidRDefault="00E45867" w:rsidP="00040586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rPr>
          <w:sz w:val="28"/>
          <w:szCs w:val="28"/>
        </w:rPr>
      </w:pPr>
      <w:r w:rsidRPr="00636C4C">
        <w:rPr>
          <w:sz w:val="28"/>
          <w:szCs w:val="28"/>
        </w:rPr>
        <w:t>Pay the fees for an execution according to the fee schedule.</w:t>
      </w:r>
    </w:p>
    <w:p w:rsidR="00040586" w:rsidRPr="00040586" w:rsidRDefault="00040586" w:rsidP="00040586">
      <w:pPr>
        <w:pStyle w:val="ListParagraph"/>
        <w:spacing w:before="240" w:after="100" w:afterAutospacing="1" w:line="240" w:lineRule="auto"/>
        <w:ind w:left="1080"/>
        <w:jc w:val="both"/>
        <w:rPr>
          <w:sz w:val="28"/>
          <w:szCs w:val="28"/>
        </w:rPr>
      </w:pPr>
    </w:p>
    <w:p w:rsidR="00E45867" w:rsidRPr="00040586" w:rsidRDefault="00E45867" w:rsidP="00040586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rPr>
          <w:sz w:val="28"/>
          <w:szCs w:val="28"/>
        </w:rPr>
      </w:pPr>
      <w:r w:rsidRPr="00040586">
        <w:rPr>
          <w:sz w:val="28"/>
          <w:szCs w:val="28"/>
        </w:rPr>
        <w:t>Include $20.00 check or money order made payable to the Garnishee.  This is a fee as a consolation</w:t>
      </w:r>
      <w:r w:rsidR="003E20F5" w:rsidRPr="00040586">
        <w:rPr>
          <w:sz w:val="28"/>
          <w:szCs w:val="28"/>
        </w:rPr>
        <w:t xml:space="preserve"> for any in</w:t>
      </w:r>
      <w:r w:rsidRPr="00040586">
        <w:rPr>
          <w:sz w:val="28"/>
          <w:szCs w:val="28"/>
        </w:rPr>
        <w:t>convenience</w:t>
      </w:r>
      <w:r w:rsidR="00F66BC5" w:rsidRPr="00040586">
        <w:rPr>
          <w:sz w:val="28"/>
          <w:szCs w:val="28"/>
        </w:rPr>
        <w:t xml:space="preserve"> the garnishment may</w:t>
      </w:r>
      <w:r w:rsidR="003E20F5" w:rsidRPr="00040586">
        <w:rPr>
          <w:sz w:val="28"/>
          <w:szCs w:val="28"/>
        </w:rPr>
        <w:t xml:space="preserve"> cause and this</w:t>
      </w:r>
      <w:r w:rsidRPr="00040586">
        <w:rPr>
          <w:sz w:val="28"/>
          <w:szCs w:val="28"/>
        </w:rPr>
        <w:t xml:space="preserve"> fee cannot be added to the costs of your case.</w:t>
      </w:r>
    </w:p>
    <w:p w:rsidR="00040586" w:rsidRPr="00040586" w:rsidRDefault="00040586" w:rsidP="00040586">
      <w:pPr>
        <w:pStyle w:val="ListParagraph"/>
        <w:spacing w:before="240" w:after="100" w:afterAutospacing="1" w:line="240" w:lineRule="auto"/>
        <w:ind w:left="1080"/>
        <w:jc w:val="both"/>
        <w:rPr>
          <w:sz w:val="28"/>
          <w:szCs w:val="28"/>
        </w:rPr>
      </w:pPr>
    </w:p>
    <w:p w:rsidR="003E20F5" w:rsidRPr="00040586" w:rsidRDefault="003E20F5" w:rsidP="00040586">
      <w:pPr>
        <w:pStyle w:val="ListParagraph"/>
        <w:numPr>
          <w:ilvl w:val="0"/>
          <w:numId w:val="2"/>
        </w:numPr>
        <w:spacing w:before="240" w:after="100" w:afterAutospacing="1" w:line="240" w:lineRule="auto"/>
        <w:jc w:val="both"/>
        <w:rPr>
          <w:sz w:val="28"/>
          <w:szCs w:val="28"/>
        </w:rPr>
      </w:pPr>
      <w:r w:rsidRPr="00040586">
        <w:rPr>
          <w:sz w:val="28"/>
          <w:szCs w:val="28"/>
        </w:rPr>
        <w:t>This garnishment is not a reoccurring attachment.  You would need to file a new garnishment and pay the $20.00 fee each time you would like to garnish property other than wages.</w:t>
      </w:r>
    </w:p>
    <w:p w:rsidR="003E20F5" w:rsidRPr="000D3C52" w:rsidRDefault="003E20F5" w:rsidP="000D3C52">
      <w:pPr>
        <w:pStyle w:val="ListParagraph"/>
        <w:spacing w:before="240" w:after="0"/>
        <w:ind w:left="1080"/>
        <w:jc w:val="both"/>
        <w:rPr>
          <w:sz w:val="28"/>
          <w:szCs w:val="28"/>
        </w:rPr>
      </w:pPr>
      <w:bookmarkStart w:id="0" w:name="_GoBack"/>
      <w:bookmarkEnd w:id="0"/>
    </w:p>
    <w:sectPr w:rsidR="003E20F5" w:rsidRPr="000D3C52" w:rsidSect="00040586">
      <w:footerReference w:type="default" r:id="rId7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52" w:rsidRDefault="000D3C52" w:rsidP="000D3C52">
      <w:pPr>
        <w:spacing w:after="0" w:line="240" w:lineRule="auto"/>
      </w:pPr>
      <w:r>
        <w:separator/>
      </w:r>
    </w:p>
  </w:endnote>
  <w:endnote w:type="continuationSeparator" w:id="0">
    <w:p w:rsidR="000D3C52" w:rsidRDefault="000D3C52" w:rsidP="000D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C52" w:rsidRDefault="00A761D4">
    <w:pPr>
      <w:pStyle w:val="Footer"/>
    </w:pPr>
    <w:r>
      <w:t xml:space="preserve">JP Civil Form No. </w:t>
    </w:r>
    <w:r w:rsidR="00E56058">
      <w:t>17I (REV 11/15/19</w:t>
    </w:r>
    <w:r w:rsidR="000D3C52">
      <w:t>)</w:t>
    </w:r>
  </w:p>
  <w:p w:rsidR="000D3C52" w:rsidRDefault="000D3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52" w:rsidRDefault="000D3C52" w:rsidP="000D3C52">
      <w:pPr>
        <w:spacing w:after="0" w:line="240" w:lineRule="auto"/>
      </w:pPr>
      <w:r>
        <w:separator/>
      </w:r>
    </w:p>
  </w:footnote>
  <w:footnote w:type="continuationSeparator" w:id="0">
    <w:p w:rsidR="000D3C52" w:rsidRDefault="000D3C52" w:rsidP="000D3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C02"/>
    <w:multiLevelType w:val="hybridMultilevel"/>
    <w:tmpl w:val="B4BC0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A0A41"/>
    <w:multiLevelType w:val="hybridMultilevel"/>
    <w:tmpl w:val="7FD22BB8"/>
    <w:lvl w:ilvl="0" w:tplc="6E788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FA"/>
    <w:rsid w:val="00040586"/>
    <w:rsid w:val="00096B17"/>
    <w:rsid w:val="000D3C52"/>
    <w:rsid w:val="00186924"/>
    <w:rsid w:val="00244912"/>
    <w:rsid w:val="002A5BE1"/>
    <w:rsid w:val="00385C62"/>
    <w:rsid w:val="003B02DA"/>
    <w:rsid w:val="003E20F5"/>
    <w:rsid w:val="00636C4C"/>
    <w:rsid w:val="006E7B9B"/>
    <w:rsid w:val="006F65FA"/>
    <w:rsid w:val="0094686F"/>
    <w:rsid w:val="00A761D4"/>
    <w:rsid w:val="00CD263C"/>
    <w:rsid w:val="00E45867"/>
    <w:rsid w:val="00E56058"/>
    <w:rsid w:val="00F6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F6B3F"/>
  <w15:chartTrackingRefBased/>
  <w15:docId w15:val="{299A6A99-9B36-4142-827C-808F7056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B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52"/>
  </w:style>
  <w:style w:type="paragraph" w:styleId="Footer">
    <w:name w:val="footer"/>
    <w:basedOn w:val="Normal"/>
    <w:link w:val="FooterChar"/>
    <w:uiPriority w:val="99"/>
    <w:unhideWhenUsed/>
    <w:rsid w:val="000D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52"/>
  </w:style>
  <w:style w:type="paragraph" w:styleId="Title">
    <w:name w:val="Title"/>
    <w:basedOn w:val="Normal"/>
    <w:next w:val="Normal"/>
    <w:link w:val="TitleChar"/>
    <w:uiPriority w:val="10"/>
    <w:qFormat/>
    <w:rsid w:val="000D3C52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D3C52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Melody (Courts)</dc:creator>
  <cp:keywords/>
  <dc:description/>
  <cp:lastModifiedBy>Walsh, Charlotte (Courts)</cp:lastModifiedBy>
  <cp:revision>2</cp:revision>
  <cp:lastPrinted>2019-11-15T15:32:00Z</cp:lastPrinted>
  <dcterms:created xsi:type="dcterms:W3CDTF">2019-11-15T15:32:00Z</dcterms:created>
  <dcterms:modified xsi:type="dcterms:W3CDTF">2019-11-15T15:32:00Z</dcterms:modified>
</cp:coreProperties>
</file>