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64" w:rsidRDefault="00B93B64" w:rsidP="002767BA">
      <w:pPr>
        <w:spacing w:after="0" w:line="240" w:lineRule="auto"/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2767BA" w:rsidRDefault="002767BA" w:rsidP="002767BA">
      <w:pPr>
        <w:spacing w:after="0" w:line="240" w:lineRule="auto"/>
        <w:jc w:val="center"/>
        <w:rPr>
          <w:b/>
        </w:rPr>
      </w:pPr>
    </w:p>
    <w:p w:rsidR="00B31B90" w:rsidRPr="00B31B90" w:rsidRDefault="00B31B90" w:rsidP="00B31B90">
      <w:pPr>
        <w:spacing w:after="0" w:line="360" w:lineRule="auto"/>
        <w:jc w:val="center"/>
        <w:rPr>
          <w:rFonts w:asciiTheme="minorHAnsi" w:eastAsia="Times New Roman" w:hAnsiTheme="minorHAnsi" w:cs="Arial"/>
          <w:sz w:val="22"/>
          <w:szCs w:val="22"/>
        </w:rPr>
      </w:pPr>
    </w:p>
    <w:tbl>
      <w:tblPr>
        <w:tblW w:w="9855" w:type="dxa"/>
        <w:jc w:val="center"/>
        <w:tblBorders>
          <w:bottom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606"/>
        <w:gridCol w:w="35"/>
        <w:gridCol w:w="99"/>
        <w:gridCol w:w="180"/>
        <w:gridCol w:w="729"/>
        <w:gridCol w:w="90"/>
        <w:gridCol w:w="450"/>
        <w:gridCol w:w="1202"/>
        <w:gridCol w:w="97"/>
        <w:gridCol w:w="487"/>
        <w:gridCol w:w="9"/>
        <w:gridCol w:w="81"/>
        <w:gridCol w:w="1369"/>
        <w:gridCol w:w="40"/>
      </w:tblGrid>
      <w:tr w:rsidR="00B31B90" w:rsidRPr="00B31B90" w:rsidTr="00391720">
        <w:trPr>
          <w:trHeight w:val="277"/>
          <w:jc w:val="center"/>
        </w:trPr>
        <w:tc>
          <w:tcPr>
            <w:tcW w:w="4381" w:type="dxa"/>
            <w:tcBorders>
              <w:bottom w:val="single" w:sz="6" w:space="0" w:color="auto"/>
              <w:right w:val="nil"/>
            </w:tcBorders>
            <w:shd w:val="clear" w:color="auto" w:fill="auto"/>
            <w:vAlign w:val="bottom"/>
          </w:tcPr>
          <w:bookmarkStart w:id="0" w:name="Parties"/>
          <w:bookmarkEnd w:id="0"/>
          <w:p w:rsidR="00B31B90" w:rsidRPr="00B31B90" w:rsidRDefault="00B31B90" w:rsidP="00B31B90">
            <w:pPr>
              <w:spacing w:after="0" w:line="240" w:lineRule="auto"/>
              <w:ind w:left="282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helpText w:type="text" w:val="Enter the Name of the Moving Party."/>
                  <w:statusText w:type="text" w:val="Enter the Name of the Moving Party."/>
                  <w:textInput>
                    <w:maxLength w:val="30"/>
                  </w:textInput>
                </w:ffData>
              </w:fldChar>
            </w:r>
            <w:bookmarkStart w:id="1" w:name="Text15"/>
            <w:r w:rsidRPr="00B31B9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31B90">
              <w:rPr>
                <w:rFonts w:eastAsia="Times New Roman"/>
                <w:sz w:val="24"/>
                <w:szCs w:val="24"/>
              </w:rPr>
            </w:r>
            <w:r w:rsidRPr="00B31B90">
              <w:rPr>
                <w:rFonts w:eastAsia="Times New Roman"/>
                <w:sz w:val="24"/>
                <w:szCs w:val="24"/>
              </w:rPr>
              <w:fldChar w:fldCharType="separate"/>
            </w:r>
            <w:bookmarkStart w:id="2" w:name="_GoBack"/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bookmarkEnd w:id="2"/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0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bookmarkStart w:id="3" w:name="CaseNumber"/>
            <w:bookmarkEnd w:id="3"/>
          </w:p>
        </w:tc>
        <w:tc>
          <w:tcPr>
            <w:tcW w:w="10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>Case # :</w:t>
            </w:r>
          </w:p>
        </w:tc>
        <w:tc>
          <w:tcPr>
            <w:tcW w:w="3735" w:type="dxa"/>
            <w:gridSpan w:val="8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B31B90" w:rsidRPr="00B31B90" w:rsidRDefault="000774F4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4" w:name="Text2"/>
            <w:r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31B90" w:rsidRPr="00B31B90" w:rsidTr="00391720">
        <w:trPr>
          <w:trHeight w:val="204"/>
          <w:jc w:val="center"/>
        </w:trPr>
        <w:tc>
          <w:tcPr>
            <w:tcW w:w="4381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5" w:name="Dropdown2"/>
            <w:r w:rsidRPr="00B31B90"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bookmarkEnd w:id="5"/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6" w:name="Mover1"/>
            <w:r w:rsidRPr="00B31B90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522541">
              <w:rPr>
                <w:rFonts w:eastAsia="Times New Roman"/>
                <w:sz w:val="24"/>
                <w:szCs w:val="24"/>
              </w:rPr>
            </w:r>
            <w:r w:rsidR="00522541">
              <w:rPr>
                <w:rFonts w:eastAsia="Times New Roman"/>
                <w:sz w:val="24"/>
                <w:szCs w:val="24"/>
              </w:rPr>
              <w:fldChar w:fldCharType="separate"/>
            </w:r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06" w:type="dxa"/>
            <w:tcBorders>
              <w:left w:val="nil"/>
              <w:bottom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31B90" w:rsidRPr="00B31B90" w:rsidTr="00391720">
        <w:trPr>
          <w:trHeight w:val="288"/>
          <w:jc w:val="center"/>
        </w:trPr>
        <w:tc>
          <w:tcPr>
            <w:tcW w:w="438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606" w:type="dxa"/>
            <w:vMerge w:val="restart"/>
            <w:tcBorders>
              <w:lef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>SBI #: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ID number. "/>
                  <w:statusText w:type="text" w:val="Enter the Receiver Party ID number. "/>
                  <w:textInput>
                    <w:maxLength w:val="15"/>
                    <w:format w:val="UPPERCASE"/>
                  </w:textInput>
                </w:ffData>
              </w:fldChar>
            </w:r>
            <w:r w:rsidRPr="00B31B9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31B90">
              <w:rPr>
                <w:rFonts w:eastAsia="Times New Roman"/>
                <w:sz w:val="24"/>
                <w:szCs w:val="24"/>
              </w:rPr>
            </w:r>
            <w:r w:rsidRPr="00B31B9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>DOB: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bookmarkStart w:id="7" w:name="Text12"/>
        <w:tc>
          <w:tcPr>
            <w:tcW w:w="1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Receiver Party Date of Birth."/>
                  <w:statusText w:type="text" w:val="Enter the Receiver Party Date of Birth."/>
                  <w:textInput>
                    <w:type w:val="date"/>
                    <w:maxLength w:val="15"/>
                    <w:format w:val="MM / DD / YYYY"/>
                  </w:textInput>
                </w:ffData>
              </w:fldChar>
            </w:r>
            <w:r w:rsidRPr="00B31B9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31B90">
              <w:rPr>
                <w:rFonts w:eastAsia="Times New Roman"/>
                <w:sz w:val="24"/>
                <w:szCs w:val="24"/>
              </w:rPr>
            </w:r>
            <w:r w:rsidRPr="00B31B9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B31B90" w:rsidRPr="00B31B90" w:rsidTr="00391720">
        <w:trPr>
          <w:trHeight w:val="144"/>
          <w:jc w:val="center"/>
        </w:trPr>
        <w:tc>
          <w:tcPr>
            <w:tcW w:w="438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>JP Court: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8"/>
                <w:szCs w:val="24"/>
              </w:rPr>
            </w:pPr>
          </w:p>
        </w:tc>
      </w:tr>
      <w:tr w:rsidR="00B31B90" w:rsidRPr="00B31B90" w:rsidTr="00391720">
        <w:trPr>
          <w:trHeight w:val="292"/>
          <w:jc w:val="center"/>
        </w:trPr>
        <w:tc>
          <w:tcPr>
            <w:tcW w:w="4381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B31B9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31B90">
              <w:rPr>
                <w:rFonts w:eastAsia="Times New Roman"/>
                <w:sz w:val="24"/>
                <w:szCs w:val="24"/>
              </w:rPr>
            </w:r>
            <w:r w:rsidRPr="00B31B9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</w:tr>
      <w:tr w:rsidR="00B31B90" w:rsidRPr="00B31B90" w:rsidTr="00391720">
        <w:trPr>
          <w:trHeight w:val="20"/>
          <w:jc w:val="center"/>
        </w:trPr>
        <w:tc>
          <w:tcPr>
            <w:tcW w:w="4381" w:type="dxa"/>
            <w:tcBorders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31B90" w:rsidRPr="00B31B90" w:rsidRDefault="000774F4" w:rsidP="00B31B90">
            <w:pPr>
              <w:spacing w:after="0" w:line="240" w:lineRule="auto"/>
              <w:ind w:left="2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8" w:name="Respondent1"/>
            <w:r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06" w:type="dxa"/>
            <w:tcBorders>
              <w:left w:val="nil"/>
              <w:bottom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>Complaint #:</w:t>
            </w:r>
          </w:p>
        </w:tc>
        <w:tc>
          <w:tcPr>
            <w:tcW w:w="3245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B90" w:rsidRPr="00B31B90" w:rsidRDefault="00B31B90" w:rsidP="00B31B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B31B90">
              <w:rPr>
                <w:rFonts w:eastAsia="Times New Roman"/>
                <w:sz w:val="24"/>
                <w:szCs w:val="24"/>
              </w:rPr>
              <w:instrText xml:space="preserve"> FORMTEXT </w:instrText>
            </w:r>
            <w:r w:rsidRPr="00B31B90">
              <w:rPr>
                <w:rFonts w:eastAsia="Times New Roman"/>
                <w:sz w:val="24"/>
                <w:szCs w:val="24"/>
              </w:rPr>
            </w:r>
            <w:r w:rsidRPr="00B31B90">
              <w:rPr>
                <w:rFonts w:eastAsia="Times New Roman"/>
                <w:sz w:val="24"/>
                <w:szCs w:val="24"/>
              </w:rPr>
              <w:fldChar w:fldCharType="separate"/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noProof/>
                <w:sz w:val="24"/>
                <w:szCs w:val="24"/>
              </w:rPr>
              <w:t> </w:t>
            </w:r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31B90" w:rsidRPr="00B31B90" w:rsidTr="00391720">
        <w:trPr>
          <w:trHeight w:val="20"/>
          <w:jc w:val="center"/>
        </w:trPr>
        <w:tc>
          <w:tcPr>
            <w:tcW w:w="4381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ind w:right="-15"/>
              <w:jc w:val="center"/>
              <w:rPr>
                <w:rFonts w:eastAsia="Times New Roman"/>
                <w:sz w:val="24"/>
                <w:szCs w:val="24"/>
              </w:rPr>
            </w:pPr>
            <w:r w:rsidRPr="00B31B90">
              <w:rPr>
                <w:rFonts w:eastAsia="Times New Roman"/>
                <w:sz w:val="24"/>
                <w:szCs w:val="24"/>
              </w:rPr>
              <w:t xml:space="preserve">                                            </w:t>
            </w:r>
            <w:r w:rsidRPr="00B31B90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9" w:name="Receiver1"/>
            <w:r w:rsidRPr="00B31B90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522541">
              <w:rPr>
                <w:rFonts w:eastAsia="Times New Roman"/>
                <w:sz w:val="24"/>
                <w:szCs w:val="24"/>
              </w:rPr>
            </w:r>
            <w:r w:rsidR="00522541">
              <w:rPr>
                <w:rFonts w:eastAsia="Times New Roman"/>
                <w:sz w:val="24"/>
                <w:szCs w:val="24"/>
              </w:rPr>
              <w:fldChar w:fldCharType="separate"/>
            </w:r>
            <w:r w:rsidRPr="00B31B90">
              <w:rPr>
                <w:rFonts w:eastAsia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06" w:type="dxa"/>
            <w:tcBorders>
              <w:left w:val="nil"/>
              <w:bottom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31B90" w:rsidRPr="00B31B90" w:rsidTr="00391720">
        <w:trPr>
          <w:trHeight w:val="20"/>
          <w:jc w:val="center"/>
        </w:trPr>
        <w:tc>
          <w:tcPr>
            <w:tcW w:w="49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31B90" w:rsidRPr="00B31B90" w:rsidRDefault="00B31B90" w:rsidP="00B31B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31B90" w:rsidRPr="00B31B90" w:rsidRDefault="00B31B90" w:rsidP="00B31B90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825E1" w:rsidRDefault="008825E1" w:rsidP="00B93B64">
      <w:pPr>
        <w:spacing w:after="0" w:line="240" w:lineRule="auto"/>
        <w:jc w:val="center"/>
        <w:rPr>
          <w:b/>
        </w:rPr>
      </w:pPr>
    </w:p>
    <w:p w:rsidR="00BA1675" w:rsidRDefault="00B93B64" w:rsidP="00B93B64">
      <w:pPr>
        <w:spacing w:after="0" w:line="240" w:lineRule="auto"/>
        <w:jc w:val="center"/>
        <w:rPr>
          <w:b/>
        </w:rPr>
      </w:pPr>
      <w:r w:rsidRPr="00BA1675">
        <w:rPr>
          <w:b/>
        </w:rPr>
        <w:t xml:space="preserve">NOTICE OF SCHEDULED HEARING </w:t>
      </w:r>
    </w:p>
    <w:p w:rsidR="00BA1675" w:rsidRDefault="00BA1675" w:rsidP="00B93B64">
      <w:pPr>
        <w:spacing w:after="0" w:line="240" w:lineRule="auto"/>
        <w:jc w:val="center"/>
        <w:rPr>
          <w:b/>
        </w:rPr>
      </w:pPr>
      <w:r w:rsidRPr="00BA1675">
        <w:rPr>
          <w:b/>
        </w:rPr>
        <w:t xml:space="preserve">FOLLOWING THE JUSTICE OF THE PEACE’S </w:t>
      </w:r>
    </w:p>
    <w:p w:rsidR="00BA1675" w:rsidRDefault="00BA1675" w:rsidP="00B93B64">
      <w:pPr>
        <w:spacing w:after="0" w:line="240" w:lineRule="auto"/>
        <w:jc w:val="center"/>
        <w:rPr>
          <w:b/>
        </w:rPr>
      </w:pPr>
      <w:r w:rsidRPr="00BA1675">
        <w:rPr>
          <w:b/>
        </w:rPr>
        <w:t xml:space="preserve">ISSUANCE OF AN EMERGENCY LETHAL VIOLENCE </w:t>
      </w:r>
    </w:p>
    <w:p w:rsidR="00B93B64" w:rsidRPr="00B93B64" w:rsidRDefault="00BA1675" w:rsidP="00B93B64">
      <w:pPr>
        <w:spacing w:after="0" w:line="240" w:lineRule="auto"/>
        <w:jc w:val="center"/>
        <w:rPr>
          <w:b/>
          <w:u w:val="single"/>
        </w:rPr>
      </w:pPr>
      <w:r w:rsidRPr="00BA1675">
        <w:rPr>
          <w:b/>
          <w:u w:val="single"/>
        </w:rPr>
        <w:t>PROTECTIVE ORDER</w:t>
      </w:r>
      <w:r>
        <w:rPr>
          <w:b/>
          <w:u w:val="single"/>
        </w:rPr>
        <w:t xml:space="preserve"> PURSUANT TO 10 </w:t>
      </w:r>
      <w:r w:rsidRPr="00BA1675">
        <w:rPr>
          <w:b/>
          <w:i/>
          <w:u w:val="single"/>
        </w:rPr>
        <w:t>DEL.</w:t>
      </w:r>
      <w:r>
        <w:rPr>
          <w:b/>
          <w:u w:val="single"/>
        </w:rPr>
        <w:t xml:space="preserve"> C. § 7703(f)</w:t>
      </w:r>
      <w:r w:rsidR="00B93B64" w:rsidRPr="00B93B64">
        <w:rPr>
          <w:b/>
          <w:u w:val="single"/>
        </w:rPr>
        <w:t xml:space="preserve"> </w:t>
      </w:r>
    </w:p>
    <w:p w:rsidR="005D39D5" w:rsidRDefault="005D39D5" w:rsidP="002767BA">
      <w:pPr>
        <w:spacing w:after="0" w:line="240" w:lineRule="auto"/>
      </w:pPr>
    </w:p>
    <w:p w:rsidR="00AA4F03" w:rsidRDefault="00AA4F03" w:rsidP="002767BA">
      <w:pPr>
        <w:spacing w:after="0" w:line="240" w:lineRule="auto"/>
        <w:sectPr w:rsidR="00AA4F03" w:rsidSect="008D5057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81"/>
        </w:sectPr>
      </w:pPr>
    </w:p>
    <w:p w:rsidR="00B93B64" w:rsidRDefault="00B93B64" w:rsidP="002767BA">
      <w:pPr>
        <w:spacing w:after="0" w:line="240" w:lineRule="auto"/>
      </w:pPr>
      <w:r>
        <w:t xml:space="preserve">TO:  </w:t>
      </w:r>
      <w:r>
        <w:tab/>
        <w:t>[fill in Respondent’s address]</w:t>
      </w:r>
    </w:p>
    <w:p w:rsidR="00B93B64" w:rsidRDefault="00B93B64" w:rsidP="002767BA">
      <w:pPr>
        <w:spacing w:after="0" w:line="240" w:lineRule="auto"/>
      </w:pPr>
    </w:p>
    <w:p w:rsidR="00B93B64" w:rsidRDefault="00B93B64" w:rsidP="002767BA">
      <w:pPr>
        <w:spacing w:after="0" w:line="240" w:lineRule="auto"/>
      </w:pPr>
    </w:p>
    <w:p w:rsidR="008825E1" w:rsidRDefault="008825E1" w:rsidP="002767BA">
      <w:pPr>
        <w:spacing w:after="0" w:line="240" w:lineRule="auto"/>
      </w:pPr>
    </w:p>
    <w:p w:rsidR="008825E1" w:rsidRDefault="008825E1" w:rsidP="002767BA">
      <w:pPr>
        <w:spacing w:after="0" w:line="240" w:lineRule="auto"/>
      </w:pPr>
    </w:p>
    <w:p w:rsidR="002767BA" w:rsidRDefault="002767BA" w:rsidP="002767BA">
      <w:pPr>
        <w:spacing w:after="0" w:line="240" w:lineRule="auto"/>
      </w:pPr>
    </w:p>
    <w:p w:rsidR="00AA4F03" w:rsidRDefault="00AA4F03" w:rsidP="00AE6C7F">
      <w:pPr>
        <w:spacing w:after="0" w:line="360" w:lineRule="auto"/>
        <w:ind w:firstLine="720"/>
        <w:jc w:val="both"/>
        <w:rPr>
          <w:b/>
        </w:rPr>
        <w:sectPr w:rsidR="00AA4F03" w:rsidSect="008D5057">
          <w:type w:val="continuous"/>
          <w:pgSz w:w="12240" w:h="15840" w:code="1"/>
          <w:pgMar w:top="720" w:right="1440" w:bottom="720" w:left="1440" w:header="360" w:footer="360" w:gutter="0"/>
          <w:cols w:space="720"/>
          <w:formProt w:val="0"/>
          <w:docGrid w:linePitch="381"/>
        </w:sectPr>
      </w:pPr>
    </w:p>
    <w:p w:rsidR="002767BA" w:rsidRDefault="00B93B64" w:rsidP="00AE6C7F">
      <w:pPr>
        <w:spacing w:after="0" w:line="360" w:lineRule="auto"/>
        <w:ind w:firstLine="720"/>
        <w:jc w:val="both"/>
      </w:pPr>
      <w:r w:rsidRPr="002767BA">
        <w:rPr>
          <w:b/>
        </w:rPr>
        <w:t>PLEASE TAKE NOTICE</w:t>
      </w:r>
      <w:r>
        <w:t xml:space="preserve"> that the attached </w:t>
      </w:r>
      <w:r w:rsidR="00BA1675">
        <w:t>Temporary Ex Parte Lethal Violence Protective Order p</w:t>
      </w:r>
      <w:r>
        <w:t>ursuant to 1</w:t>
      </w:r>
      <w:r w:rsidR="00BA1675">
        <w:t>0</w:t>
      </w:r>
      <w:r>
        <w:t xml:space="preserve"> </w:t>
      </w:r>
      <w:r w:rsidRPr="00B93B64">
        <w:rPr>
          <w:i/>
        </w:rPr>
        <w:t>Del. C.</w:t>
      </w:r>
      <w:r w:rsidRPr="00B93B64">
        <w:t xml:space="preserve"> § </w:t>
      </w:r>
      <w:r w:rsidR="00BA1675">
        <w:t>7703(a)</w:t>
      </w:r>
      <w:r>
        <w:t xml:space="preserve"> was </w:t>
      </w:r>
      <w:r w:rsidR="00BA1675">
        <w:t xml:space="preserve">provided to the </w:t>
      </w:r>
      <w:r w:rsidR="00E1572B">
        <w:t xml:space="preserve">Superior </w:t>
      </w:r>
      <w:r w:rsidR="00BA1675">
        <w:t xml:space="preserve">Court.  Pursuant to 10 </w:t>
      </w:r>
      <w:r w:rsidR="00BA1675" w:rsidRPr="00E1572B">
        <w:rPr>
          <w:i/>
        </w:rPr>
        <w:t>Del. C.</w:t>
      </w:r>
      <w:r w:rsidR="00BA1675">
        <w:t xml:space="preserve"> § 7703(f), if the Justice of the Peace Court issues an emergency lethal violence protective order the Superior Court must hold a full hearing within 15 days to consider the Petitioner’s Affidavit and Application for a Lethal Violence Protective Order.  If you oppose Petitioner’s Affidavit and Application for a Lethal Violence Protective Order</w:t>
      </w:r>
      <w:r>
        <w:t xml:space="preserve">, you have the right to </w:t>
      </w:r>
      <w:r w:rsidR="00030AE0">
        <w:t xml:space="preserve">notice, to be present, to </w:t>
      </w:r>
      <w:r>
        <w:t xml:space="preserve">be heard, </w:t>
      </w:r>
      <w:r w:rsidR="00030AE0">
        <w:t xml:space="preserve">to </w:t>
      </w:r>
      <w:r>
        <w:t xml:space="preserve">present evidence and </w:t>
      </w:r>
      <w:r w:rsidR="00030AE0">
        <w:t xml:space="preserve">to </w:t>
      </w:r>
      <w:r>
        <w:t xml:space="preserve">cross examine </w:t>
      </w:r>
      <w:r w:rsidR="00BA1675">
        <w:t xml:space="preserve">adverse </w:t>
      </w:r>
      <w:r>
        <w:t>witnesses at the hearing scheduled for the date and time set forth in the attached Order</w:t>
      </w:r>
      <w:r w:rsidR="00EF28EA">
        <w:t xml:space="preserve"> and Notice</w:t>
      </w:r>
      <w:r w:rsidR="00E1572B">
        <w:t xml:space="preserve"> of Scheduled Hearing</w:t>
      </w:r>
      <w:r w:rsidR="00EC65A0">
        <w:t>.</w:t>
      </w:r>
    </w:p>
    <w:p w:rsidR="002767BA" w:rsidRDefault="002767BA" w:rsidP="002767BA">
      <w:pPr>
        <w:spacing w:after="0" w:line="240" w:lineRule="auto"/>
        <w:jc w:val="both"/>
      </w:pPr>
    </w:p>
    <w:p w:rsidR="008825E1" w:rsidRDefault="002767BA" w:rsidP="008D5057">
      <w:pPr>
        <w:keepNext/>
        <w:keepLines/>
        <w:spacing w:after="0" w:line="360" w:lineRule="auto"/>
        <w:jc w:val="both"/>
      </w:pPr>
      <w:r>
        <w:lastRenderedPageBreak/>
        <w:t>If you oppose</w:t>
      </w:r>
      <w:r w:rsidR="00EF28EA">
        <w:t xml:space="preserve"> the </w:t>
      </w:r>
      <w:r w:rsidR="00BA1675">
        <w:t xml:space="preserve">Affidavit and Application for a Lethal Violence Protective Order </w:t>
      </w:r>
      <w:r w:rsidR="00EF28EA">
        <w:t>and have</w:t>
      </w:r>
      <w:r w:rsidR="00B93B64">
        <w:t xml:space="preserve"> good cause why you cannot appear at the scheduled hearing you must file </w:t>
      </w:r>
    </w:p>
    <w:p w:rsidR="002767BA" w:rsidRDefault="00EF28EA" w:rsidP="002767BA">
      <w:pPr>
        <w:spacing w:after="0" w:line="360" w:lineRule="auto"/>
        <w:jc w:val="both"/>
      </w:pPr>
      <w:r>
        <w:t xml:space="preserve">a </w:t>
      </w:r>
      <w:r w:rsidR="002767BA">
        <w:t xml:space="preserve">written </w:t>
      </w:r>
      <w:r>
        <w:t xml:space="preserve">request </w:t>
      </w:r>
      <w:r w:rsidR="002767BA">
        <w:t>to the Court</w:t>
      </w:r>
      <w:r w:rsidR="005B52C0">
        <w:t>,</w:t>
      </w:r>
      <w:r w:rsidR="002767BA">
        <w:t xml:space="preserve"> </w:t>
      </w:r>
      <w:r w:rsidR="000258D5">
        <w:t>two (2) days prior to the Hearing date</w:t>
      </w:r>
      <w:r w:rsidR="005B52C0">
        <w:t xml:space="preserve">, </w:t>
      </w:r>
      <w:r w:rsidR="002767BA">
        <w:t xml:space="preserve">setting forth your reasons </w:t>
      </w:r>
      <w:r>
        <w:t>to have the hearing rescheduled</w:t>
      </w:r>
      <w:r w:rsidR="002767BA">
        <w:t>.</w:t>
      </w:r>
      <w:r>
        <w:t xml:space="preserve">  </w:t>
      </w:r>
    </w:p>
    <w:p w:rsidR="00B31B90" w:rsidRDefault="00B31B90" w:rsidP="002767BA">
      <w:pPr>
        <w:spacing w:after="0" w:line="360" w:lineRule="auto"/>
        <w:jc w:val="both"/>
      </w:pPr>
    </w:p>
    <w:p w:rsidR="002767BA" w:rsidRDefault="00EF28EA" w:rsidP="002767BA">
      <w:pPr>
        <w:spacing w:after="0" w:line="360" w:lineRule="auto"/>
        <w:jc w:val="both"/>
      </w:pPr>
      <w:r>
        <w:t>If the Court finds good cause to grant your request to reschedule the hearing</w:t>
      </w:r>
      <w:r w:rsidR="00030AE0">
        <w:t>,</w:t>
      </w:r>
      <w:r>
        <w:t xml:space="preserve"> another Notice of a Scheduled Hearing will be served upon you.  </w:t>
      </w:r>
      <w:r w:rsidR="008825E1">
        <w:t>If the Court denies your request to reschedule the hearing, the hearing will proceed as originally scheduled.</w:t>
      </w:r>
    </w:p>
    <w:p w:rsidR="008825E1" w:rsidRDefault="008825E1" w:rsidP="002767BA">
      <w:pPr>
        <w:spacing w:after="0" w:line="360" w:lineRule="auto"/>
        <w:jc w:val="both"/>
      </w:pPr>
    </w:p>
    <w:p w:rsidR="002767BA" w:rsidRDefault="002767BA" w:rsidP="002767BA">
      <w:pPr>
        <w:spacing w:after="0" w:line="240" w:lineRule="auto"/>
        <w:jc w:val="both"/>
      </w:pPr>
    </w:p>
    <w:p w:rsidR="00B93B64" w:rsidRPr="00AE6C7F" w:rsidRDefault="00030AE0" w:rsidP="002767BA">
      <w:pPr>
        <w:spacing w:after="0" w:line="360" w:lineRule="auto"/>
        <w:jc w:val="both"/>
        <w:rPr>
          <w:b/>
          <w:u w:val="single"/>
        </w:rPr>
      </w:pPr>
      <w:r w:rsidRPr="00AE6C7F">
        <w:rPr>
          <w:b/>
          <w:u w:val="single"/>
        </w:rPr>
        <w:t>I</w:t>
      </w:r>
      <w:r w:rsidR="00EF28EA" w:rsidRPr="00AE6C7F">
        <w:rPr>
          <w:b/>
          <w:u w:val="single"/>
        </w:rPr>
        <w:t xml:space="preserve">f you do not appear at the hearing, the Court </w:t>
      </w:r>
      <w:r w:rsidRPr="00AE6C7F">
        <w:rPr>
          <w:b/>
          <w:u w:val="single"/>
        </w:rPr>
        <w:t xml:space="preserve">will direct that a Lethal Violence Protective Order issue and be served upon you.  </w:t>
      </w:r>
      <w:r w:rsidR="00EF28EA" w:rsidRPr="00AE6C7F">
        <w:rPr>
          <w:b/>
          <w:u w:val="single"/>
        </w:rPr>
        <w:t xml:space="preserve">  </w:t>
      </w:r>
    </w:p>
    <w:p w:rsidR="005617DA" w:rsidRDefault="005617DA" w:rsidP="002767BA">
      <w:pPr>
        <w:spacing w:after="0" w:line="360" w:lineRule="auto"/>
        <w:jc w:val="both"/>
      </w:pPr>
    </w:p>
    <w:p w:rsidR="00B31B90" w:rsidRDefault="00B31B90" w:rsidP="002767BA">
      <w:pPr>
        <w:spacing w:after="0" w:line="360" w:lineRule="auto"/>
        <w:jc w:val="both"/>
      </w:pPr>
    </w:p>
    <w:p w:rsidR="00B31B90" w:rsidRDefault="00B31B90" w:rsidP="002767BA">
      <w:pPr>
        <w:spacing w:after="0" w:line="360" w:lineRule="auto"/>
        <w:jc w:val="both"/>
      </w:pPr>
    </w:p>
    <w:p w:rsidR="00B31B90" w:rsidRDefault="00B31B90" w:rsidP="002767BA">
      <w:pPr>
        <w:spacing w:after="0" w:line="360" w:lineRule="auto"/>
        <w:jc w:val="both"/>
      </w:pPr>
    </w:p>
    <w:p w:rsidR="002767BA" w:rsidRDefault="002767BA" w:rsidP="002767BA">
      <w:pPr>
        <w:spacing w:after="0" w:line="240" w:lineRule="auto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767BA" w:rsidRDefault="002767BA" w:rsidP="002767BA">
      <w:pPr>
        <w:spacing w:after="0" w:line="24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Prothonotary</w:t>
      </w:r>
    </w:p>
    <w:sectPr w:rsidR="002767BA" w:rsidSect="00AA4F03">
      <w:type w:val="continuous"/>
      <w:pgSz w:w="12240" w:h="15840"/>
      <w:pgMar w:top="432" w:right="1440" w:bottom="288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B8" w:rsidRDefault="008C60B8" w:rsidP="005617DA">
      <w:pPr>
        <w:spacing w:after="0" w:line="240" w:lineRule="auto"/>
      </w:pPr>
      <w:r>
        <w:separator/>
      </w:r>
    </w:p>
  </w:endnote>
  <w:endnote w:type="continuationSeparator" w:id="0">
    <w:p w:rsidR="008C60B8" w:rsidRDefault="008C60B8" w:rsidP="0056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DA" w:rsidRPr="008D5057" w:rsidRDefault="005617DA" w:rsidP="008D5057">
    <w:pPr>
      <w:pStyle w:val="Footer"/>
      <w:tabs>
        <w:tab w:val="clear" w:pos="4680"/>
      </w:tabs>
      <w:rPr>
        <w:sz w:val="16"/>
        <w:szCs w:val="16"/>
      </w:rPr>
    </w:pPr>
    <w:r w:rsidRPr="008D5057">
      <w:rPr>
        <w:sz w:val="16"/>
        <w:szCs w:val="16"/>
      </w:rPr>
      <w:t xml:space="preserve">Forms/SC </w:t>
    </w:r>
    <w:r w:rsidR="00030AE0" w:rsidRPr="008D5057">
      <w:rPr>
        <w:sz w:val="16"/>
        <w:szCs w:val="16"/>
      </w:rPr>
      <w:t xml:space="preserve">LVPO </w:t>
    </w:r>
    <w:r w:rsidRPr="008D5057">
      <w:rPr>
        <w:sz w:val="16"/>
        <w:szCs w:val="16"/>
      </w:rPr>
      <w:t>Service Cover Page Notice of Hearing v</w:t>
    </w:r>
    <w:r w:rsidR="00030AE0" w:rsidRPr="008D5057">
      <w:rPr>
        <w:sz w:val="16"/>
        <w:szCs w:val="16"/>
      </w:rPr>
      <w:t>1</w:t>
    </w:r>
    <w:r w:rsidRPr="008D5057">
      <w:rPr>
        <w:sz w:val="16"/>
        <w:szCs w:val="16"/>
      </w:rPr>
      <w:t xml:space="preserve"> </w:t>
    </w:r>
    <w:r w:rsidR="008D5057" w:rsidRPr="008D5057">
      <w:rPr>
        <w:sz w:val="16"/>
        <w:szCs w:val="16"/>
      </w:rPr>
      <w:tab/>
      <w:t>Revised 0</w:t>
    </w:r>
    <w:r w:rsidRPr="008D5057">
      <w:rPr>
        <w:sz w:val="16"/>
        <w:szCs w:val="16"/>
      </w:rPr>
      <w:t>1</w:t>
    </w:r>
    <w:r w:rsidR="008D5057" w:rsidRPr="008D5057">
      <w:rPr>
        <w:sz w:val="16"/>
        <w:szCs w:val="16"/>
      </w:rPr>
      <w:t>/0</w:t>
    </w:r>
    <w:r w:rsidRPr="008D5057">
      <w:rPr>
        <w:sz w:val="16"/>
        <w:szCs w:val="16"/>
      </w:rPr>
      <w:t>9</w:t>
    </w:r>
    <w:r w:rsidR="008D5057" w:rsidRPr="008D5057">
      <w:rPr>
        <w:sz w:val="16"/>
        <w:szCs w:val="16"/>
      </w:rPr>
      <w:t>/20</w:t>
    </w:r>
    <w:r w:rsidRPr="008D5057">
      <w:rPr>
        <w:sz w:val="16"/>
        <w:szCs w:val="16"/>
      </w:rPr>
      <w:t>1</w:t>
    </w:r>
    <w:r w:rsidR="00030AE0" w:rsidRPr="008D5057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B8" w:rsidRDefault="008C60B8" w:rsidP="005617DA">
      <w:pPr>
        <w:spacing w:after="0" w:line="240" w:lineRule="auto"/>
      </w:pPr>
      <w:r>
        <w:separator/>
      </w:r>
    </w:p>
  </w:footnote>
  <w:footnote w:type="continuationSeparator" w:id="0">
    <w:p w:rsidR="008C60B8" w:rsidRDefault="008C60B8" w:rsidP="0056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64"/>
    <w:rsid w:val="000258D5"/>
    <w:rsid w:val="00030AE0"/>
    <w:rsid w:val="000774F4"/>
    <w:rsid w:val="000C00BD"/>
    <w:rsid w:val="00237505"/>
    <w:rsid w:val="002767BA"/>
    <w:rsid w:val="002F5721"/>
    <w:rsid w:val="003271C3"/>
    <w:rsid w:val="004A355D"/>
    <w:rsid w:val="004E0B13"/>
    <w:rsid w:val="00522541"/>
    <w:rsid w:val="005617DA"/>
    <w:rsid w:val="005B52C0"/>
    <w:rsid w:val="005D39D5"/>
    <w:rsid w:val="00737760"/>
    <w:rsid w:val="008825E1"/>
    <w:rsid w:val="008912D9"/>
    <w:rsid w:val="008C60B8"/>
    <w:rsid w:val="008D5057"/>
    <w:rsid w:val="00A43C16"/>
    <w:rsid w:val="00AA4F03"/>
    <w:rsid w:val="00AE6C7F"/>
    <w:rsid w:val="00AE6CCD"/>
    <w:rsid w:val="00B31B90"/>
    <w:rsid w:val="00B93B64"/>
    <w:rsid w:val="00BA1675"/>
    <w:rsid w:val="00BB15E5"/>
    <w:rsid w:val="00C16702"/>
    <w:rsid w:val="00C570CC"/>
    <w:rsid w:val="00DC4D31"/>
    <w:rsid w:val="00DF6BB2"/>
    <w:rsid w:val="00E1572B"/>
    <w:rsid w:val="00EA0464"/>
    <w:rsid w:val="00EC65A0"/>
    <w:rsid w:val="00EF28EA"/>
    <w:rsid w:val="00F10160"/>
    <w:rsid w:val="00F77ED5"/>
    <w:rsid w:val="00F8172D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E4AA36"/>
  <w15:chartTrackingRefBased/>
  <w15:docId w15:val="{2E6A17F4-2EE3-4781-ABC9-151270BE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A"/>
  </w:style>
  <w:style w:type="paragraph" w:styleId="Footer">
    <w:name w:val="footer"/>
    <w:basedOn w:val="Normal"/>
    <w:link w:val="FooterChar"/>
    <w:uiPriority w:val="99"/>
    <w:unhideWhenUsed/>
    <w:rsid w:val="0056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64A3-FE49-484C-9A46-EFE35765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9</cp:revision>
  <cp:lastPrinted>2019-01-09T23:05:00Z</cp:lastPrinted>
  <dcterms:created xsi:type="dcterms:W3CDTF">2019-05-30T12:55:00Z</dcterms:created>
  <dcterms:modified xsi:type="dcterms:W3CDTF">2019-06-05T19:26:00Z</dcterms:modified>
</cp:coreProperties>
</file>